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C1A9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1A9C" w:rsidRDefault="0093788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C1A9C" w:rsidRDefault="0093788B">
            <w:pPr>
              <w:spacing w:after="0" w:line="240" w:lineRule="auto"/>
            </w:pPr>
            <w:r>
              <w:t>33216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1A9C" w:rsidRDefault="0093788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C1A9C" w:rsidRDefault="0093788B">
            <w:pPr>
              <w:spacing w:after="0" w:line="240" w:lineRule="auto"/>
            </w:pPr>
            <w:r>
              <w:t>OPĆINA KOTORIBA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1A9C" w:rsidRDefault="0093788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C1A9C" w:rsidRDefault="0093788B">
            <w:pPr>
              <w:spacing w:after="0" w:line="240" w:lineRule="auto"/>
            </w:pPr>
            <w:r>
              <w:t>22</w:t>
            </w:r>
          </w:p>
        </w:tc>
      </w:tr>
    </w:tbl>
    <w:p w:rsidR="00CC1A9C" w:rsidRDefault="0093788B">
      <w:r>
        <w:br/>
      </w:r>
    </w:p>
    <w:p w:rsidR="00CC1A9C" w:rsidRDefault="0093788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C1A9C" w:rsidRDefault="0093788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C1A9C" w:rsidRDefault="0093788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1.979.546,99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2.291.072,08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1.171.786,99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1.652.623,87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CC1A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807.760,00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638.448,21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79,0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96.741,94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4,4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492.560,99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629.360,28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CC1A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395.819,05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625.092,30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157,9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79.633,68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79.633,68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CC1A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79.633,68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79.633,68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CC1A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66.277,77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Općina </w:t>
      </w:r>
      <w:proofErr w:type="spellStart"/>
      <w:r>
        <w:t>Kotoriba</w:t>
      </w:r>
      <w:proofErr w:type="spellEnd"/>
      <w:r>
        <w:t xml:space="preserve"> sukladno odredbama Pravilnika o proračunskom računovodstvu i Računskom planu primjenjuje knjigovodstvena evidentiranja od 01.sijećnja 2025. godine, te prema Okružnici o sastavljanju i predaji financijskih izvještaja proračuna, proračunskih </w:t>
      </w:r>
      <w:r>
        <w:t xml:space="preserve">i izvanproračunskih korisnika državnog proračuna te proračunskih i izvanproračunskih korisnika jedinca lokalne i područne (regionalne) samouprave za razdoblje od 1. siječnja do 31. prosinca 2025. godine i druge aktualnosti, KLASA: 400-02/25-01/14, URBROJ: </w:t>
      </w:r>
      <w:r>
        <w:t xml:space="preserve">513-17-01-26-5 od 16. siječnja 2026. godine, sastavljen je Financijski izvještaj Općine </w:t>
      </w:r>
      <w:proofErr w:type="spellStart"/>
      <w:r>
        <w:t>Kotoriba</w:t>
      </w:r>
      <w:proofErr w:type="spellEnd"/>
      <w:r>
        <w:t xml:space="preserve"> za </w:t>
      </w:r>
      <w:r>
        <w:lastRenderedPageBreak/>
        <w:t>razdoblje siječanj – prosinac 2025. godine koji se sastoji od: Izvještaja o prihodima i rashodima, primicima i izdacima (Obrazac PR-RAS), Bilanca, Izvještaj</w:t>
      </w:r>
      <w:r>
        <w:t xml:space="preserve"> o rashodima prema funkcijskoj klasifikaciji, Izvještaj o promjeni u vrijednosti i obujmu imovine i obveza, Izvještaj o obvezama (Obrazac Obveze), EU izvještaj.</w:t>
      </w:r>
    </w:p>
    <w:p w:rsidR="00CC1A9C" w:rsidRDefault="0093788B">
      <w:r>
        <w:t xml:space="preserve">U 2025. godini ukupni prihodi poslovanja Općine </w:t>
      </w:r>
      <w:proofErr w:type="spellStart"/>
      <w:r>
        <w:t>Kotoriba</w:t>
      </w:r>
      <w:proofErr w:type="spellEnd"/>
      <w:r>
        <w:t xml:space="preserve"> (6+7) su 2.295.340,06 eura dok su ukup</w:t>
      </w:r>
      <w:r>
        <w:t>ni rashodi (3+4+5) 2.361.617,83 eura što rezultira manjkom u 2025. godini u iznosu od 66.277,77 eura. Preneseni višak iz prethodne godine u iznosu od 629.754,80 eura pokriva manjak poslovanja 2025. godine pa stoga konačni rezultat poslovanja u 2025. godini</w:t>
      </w:r>
      <w:r>
        <w:t xml:space="preserve"> ima višak u iznosi 563.477,03 eura.</w:t>
      </w:r>
    </w:p>
    <w:p w:rsidR="00CC1A9C" w:rsidRDefault="0093788B">
      <w:r>
        <w:br/>
      </w:r>
    </w:p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1.979.546,99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2.291.072,08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Ukupni prihodi poslovanja u ovom izvještajnom razdoblju veći su za 15,7% a odnosi se na veći prihod od poreza na dohodak od nesamostalnog rada, porez na dohodak od kapitala, povremenog poreza na imovinu, prihoda od zakupa i iznajmljivanja imovine, prihod o</w:t>
      </w:r>
      <w:r>
        <w:t>d komunalne naknade što će biti detaljnije objašnjeno uz svaku stavku.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poreza </w:t>
            </w:r>
            <w:r>
              <w:rPr>
                <w:sz w:val="18"/>
              </w:rPr>
              <w:t>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1.180.859,54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1.384.039,40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Prihod od poreza je veći za 17,2% kao i povrat poreza po godišnjoj prijavi na što ne možemo utjecati.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136.276,45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177.378,18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Porez na dohodak od kapitala je veći u odnosu na prošlogodišnje promatrano razdoblje za 30,2% na što ne možemo utjecati.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27.719,05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48.968,00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odnosu na prošlogodišnji prihod poreza na promet nekretnina u 2025. godini prihod je veći za 63,9% što je u financijskom smislu 17.707,68 eura više dok isto tako na tu vrstu prihoda nemamo utjecaj.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stalni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Prema novom Zakonu o porezu na imovinu ostvaren je prvi prihod od takve vrste poreza što Općina u prijašnjim godinama nije ostvarivala jer je prihod za nekretnine na području općine prihodovala kroz komunalnu naknadu.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426.286,92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18.148,35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4,3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Novim Pravilnikom o proračunskom računovodstvu i računskom planu NN158/2023 prihod iz državnog proračuna za fiskalno izravnanje općine i fiskalnu održivost dječjeg vrtića sa konta 63311 prebačeno je na konto 63531 dok je prihod za fiskalno izravnanje veće </w:t>
      </w:r>
      <w:r>
        <w:t>na mjesečnoj razini u odnosu na prošlu godinu za 1604,65 eura dok je fiskalna održivost za dječji vrtić manja za 327,00 eura na mjesečnoj razini.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Ostvaren je veći prihod u iznosu od 64.700,00 eura što se odnosi na prihod od Ministarstva kulture za projekt adaptacije zgrade Knjižnice i čitaonice te obnovu kulturnog spomenika u </w:t>
      </w:r>
      <w:r>
        <w:lastRenderedPageBreak/>
        <w:t>iznosu od 43.000,00 eura dok je iznos od 21.700,00 eura dobiven od Minista</w:t>
      </w:r>
      <w:r>
        <w:t>rstva prostornog uređenja za projekt izgradnje parkirališta u Dugoj ulici.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od </w:t>
            </w:r>
            <w:r>
              <w:rPr>
                <w:sz w:val="18"/>
              </w:rPr>
              <w:t>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20.402,15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27.850,08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Odnosi se na prihod Hrvatskog zavoda za zapošljavanje za zaposlene na javnim radovima te je prihod veći zbog većeg broja zaposlenika.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85.926,63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5,4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Općina </w:t>
      </w:r>
      <w:proofErr w:type="spellStart"/>
      <w:r>
        <w:t>Kotoriba</w:t>
      </w:r>
      <w:proofErr w:type="spellEnd"/>
      <w:r>
        <w:t xml:space="preserve"> u 2025. godini ostvarila je prihod temeljem EU projekta samo za dva računa prema predanom ZNS-u iz 2024. godine za aktualni projekt Rekonstrukcije stare škole.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125.988,95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192.601,89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152,9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Prihod od imovine veći je za 52,9% što se ponajviše odnosi na prihod od dugogodišnjeg zakupa poljoprivrednog zemljišta koje nije bilo ostvareno u prošlogodišnjem izvještajnom razdoblju jer je zakupac za 2024. godinu uplatio obvezu krajem 2023. godine. 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81.102,58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144.011,47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177,6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lastRenderedPageBreak/>
        <w:t>Prihod od imovine veći je za 77,6% što se  odnosi na prihod od dugogodišnjeg zakupa poljoprivrednog zemljišta koje nije bilo ostvareno u prošlogodišnjem izvještajnom razdoblju jer je zakupac za 2024. godinu uplatio obvezu krajem 2023. godine. 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13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10.082,31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13.015,79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Odnosi se na prihod prava služnosti na javnim površinama te je ove godine uz redovni prihod Hrvatskog telekoma prihodovano od tvrtke OIE </w:t>
      </w:r>
      <w:proofErr w:type="spellStart"/>
      <w:r>
        <w:t>Kotoriba</w:t>
      </w:r>
      <w:proofErr w:type="spellEnd"/>
      <w:r>
        <w:t xml:space="preserve"> d.o.o. za pravo služnosti poljskih puteva sukladno sklopljenim Ugovorima iz prethodnih godina te je prihod već</w:t>
      </w:r>
      <w:r>
        <w:t>i za 29,1%.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Ostvaren je prihod od naknade za zadržavanje zgrada koja je naplaćena ovrhom dok u promatranom razdoblju iz 2024. godine nije bilo ostvarenja.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1394,1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Ostvaren je prihod za šumski doprinos u evidentiranom iznosu te je znatno povećanje u odnosu na prošlogodišnje promatrano razdoblje i to za 9.287,10 eura.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88.558,04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102.343,75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lastRenderedPageBreak/>
        <w:t>Prihod od komunalne naknade u odnosu na prošlogodišnje izvještajno razdoblje je veće za 15,6% iz razloga što se ovršnim postupkom izvršila naplata dugovanja iz prethodne godine te naplatom novih obveznika fizičkih osoba i proširenjem proizvodnih prostora o</w:t>
      </w:r>
      <w:r>
        <w:t>d strane pravnih osoba.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15.923,74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20.021,40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Prihod od pruženih usluga veći je za 25,7% tj. 4.097,66 eura a ostvaruje se od fakturiranja zakupcima za komunalne usluge pa stoga zbog povećanja cijene energenata i povećanja potrošnje fakturirani računi su veći. 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Donacije od pravnih i fizičkih osoba izvan općeg proračuna te povrat donacija i kapitalnih pomoći po protestiranim jamstvima </w:t>
            </w:r>
            <w:r>
              <w:rPr>
                <w:sz w:val="18"/>
              </w:rPr>
              <w:t>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10,1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U ovom izvještajnom razdoblju ostvaren je prihod kao donacija od fizičkih osoba za izradu </w:t>
      </w:r>
      <w:proofErr w:type="spellStart"/>
      <w:r>
        <w:t>Kotoripskog</w:t>
      </w:r>
      <w:proofErr w:type="spellEnd"/>
      <w:r>
        <w:t xml:space="preserve"> vjesnika, dok kapitalna donacija nije ostvarena.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U ovom izvještajnom razdoblju ostvaren je prihod kao donacija od fizičkih osoba za izradu </w:t>
      </w:r>
      <w:proofErr w:type="spellStart"/>
      <w:r>
        <w:t>Kotoripskog</w:t>
      </w:r>
      <w:proofErr w:type="spellEnd"/>
      <w:r>
        <w:t xml:space="preserve"> vjesnika.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Kapitalna donacija nije ostvarena u 2025. godini.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(šifre 6811 do 6819)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Prema Zakonu o komunalnom redu naplaćene su dvije kazne.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2120,0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Ostvaren je prihod za troškove ovršnih postupaka za komunalnu naknadu fizičkih i pravnih osoba, ostvaren je prihod od naknade za sanaciju općinskih puteva tijekom seizmičkih snimanja.</w:t>
      </w:r>
    </w:p>
    <w:p w:rsidR="00CC1A9C" w:rsidRDefault="0093788B">
      <w:r>
        <w:t> 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1.171.786,99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1.652.623,87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Rashod poslovanja u 2025. godini u odnosu na prošlogodišnje promatrano razdoblje veći je za 41% a odnosi se za veći rashod za zaposlene, rashode za komunalne usluge i energiju zbog poskupljenja cijena. Svako veće povećanje obrazloženo je uz stavku rashoda.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150.267,06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235.136,72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156,5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Rashod za plaće i naknade u ovom promatranom razdoblju veći je za 56,5% zbog povećanja plaća zaposlenicima, zaposlenja jedne djelatnice u JUO te tokom svibnja u suradnji sa HZZ zaposlena su 4 djelatnika za rad na javnim radovima na rok od 6 mjeseci.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17.042,17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20.558,10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Povećanje je za 20,6% zbog novih zapošljavanja u JUO i povećanja plaća radi većih troškova života..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21.666,56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34.469,27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159,1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Povećanje je za 59,1% zbog novih zapošljavanja u JUO i povećanja plaća radi većih troškova života..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21.666,56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34.469,27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159,1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Povećanje je za 59,1% zbog novih zapošljavanja u JUO i povećanja plaća radi većih troškova života.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445.964,99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647.596,59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ovoj skupini (32) veći je rashod ponajviše zbog poskupljena cijena usluga, materijal i sirovina na tržištu te je rashod veći za 45,2% 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5.788,66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7.503,40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129,6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Ova vrsta rashoda odnosi se na rashod za službena putovanja zaposlenih i načelnika, stručnog usavršavanja te je po stavkama obrazloženo povećanje.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220,8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odnosu na prošlogodišnje izvještajno razdoblje povećanje je za 120,8% tj. za 1.443,59 eura jer administrativno osoblje pohađa maksimalno ponuđene seminare vezano za poslove računovodstva, proračuna i javne nabave. Zbog novog zapošljavanja djelatnice i ra</w:t>
      </w:r>
      <w:r>
        <w:t>dnika na javnim radovima obavljena je obuka zaštite na radu te se na to osposobljavanje ponajviše odnosi rashod (1067,75 eura).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9.284,27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132,2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ovom izvještajnom razdoblju povećanje rashoda za uredski materijal veći je za 32,2% zbog troškova nabave materijala za Lokalne izbore 2025. 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202,3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Općina </w:t>
      </w:r>
      <w:proofErr w:type="spellStart"/>
      <w:r>
        <w:t>Kotoriba</w:t>
      </w:r>
      <w:proofErr w:type="spellEnd"/>
      <w:r>
        <w:t xml:space="preserve"> podmiruje troškove nabave sanitetskog materijala vata i alkohola za provođenje usluge laboratorijskih pretraga vađenja krvi zato što zdravstvenu uslugu više ne obavlja Županijska bolnica Čakovec, već je isto povjereno fizičkoj osobi kojoj s</w:t>
      </w:r>
      <w:r>
        <w:t>e usluga vađenja podmiruje prema ugovoru o djelu. Rashod u odnosu na prethodno promatrano razdoblje je veći za 102,3% dok je u financijskom smislu rashod veći za 27,77 eura.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42.017,66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46.624,17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odnosu na prošlogodišnje promatrano razdoblje rashod je veći za 11% u dijelu troškova potrošnje struje i plina iz razloga jer je općina u 2024. godini provedenim javnim natječajem kupila starije nekretnine te je nastala obveza plaćanja paušala.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prethodnoj godini bila je nabava radne odjeće za komunalne djelatnike dok u 2025. godini nabavljena je samo radna odjeća koja se istrošila nošenjem stoga je rashod manji 45,3%.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85.021,47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222.484,74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Ova vrsta rashoda veća je za 161,7% tj. za 137.463,27 eura u odnosu na prošlogodišnje izvještajno razdoblje u kojem nije bilo većih investicija dok u ovom polugodištu izvršeni su neophodno potrebni soboslikarski radovi Društvenog doma, srušena je stambena </w:t>
      </w:r>
      <w:r>
        <w:t xml:space="preserve">nekretnina </w:t>
      </w:r>
      <w:r>
        <w:lastRenderedPageBreak/>
        <w:t xml:space="preserve">na adresi Dugoj ulici 14 zbog potreba provedbe novog projekta za izgradnju potrebnog parkirališta, a rashod samog rušenja je 16.875,00 eura. Prema prijavljenom natječaju za investicijsko održavanje nerazvrstanih cesta izvršena je obnova asfalta </w:t>
      </w:r>
      <w:r>
        <w:t>po mjestu u ukupnom trošku od 97.356,89 eura, dok se ostatak rashoda odnosi na tekuće održavanje poljskih puteva i javnih površina, rušenja derutne stambene zgrade u Dravskoj ulici 4.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48.075,24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74.984,89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Komunalne usluge u ovom promatranom razdoblju su veće za 56% tj. za 26.909,65 eura zbog većeg rashoda za deratizaciju i dezinsekciju tj. suzbijanje komaraca, odvoz i zbrinjavanje otpada sa javnih površina tj. </w:t>
      </w:r>
      <w:proofErr w:type="spellStart"/>
      <w:r>
        <w:t>k.č</w:t>
      </w:r>
      <w:proofErr w:type="spellEnd"/>
      <w:r>
        <w:t>. 4811 prema nalogu inspekcije.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37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220,6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Zakupnine i najamnine odnose se na najam pozornice, štandova za održavanje manifestacija te u odnosu na prošlogodišnje promatrano razdoblje rashod je veći za 120,6% zbog poskupljenja usluga najma.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11.397,11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Rashod za računalne usluge je veći za 27,8% zbog poskupljenja usluga na što ne možemo utjecati.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69.767,10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87.016,67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Rashod u ovom programu je veći za 24,7% tj. 44.159,22 eura zbog znatnog poskupljenja usluga tiskanja </w:t>
      </w:r>
      <w:proofErr w:type="spellStart"/>
      <w:r>
        <w:t>Kotoripskog</w:t>
      </w:r>
      <w:proofErr w:type="spellEnd"/>
      <w:r>
        <w:t xml:space="preserve"> vjesnika, izrade većeg broja pozivnica s kuvertama za Dane </w:t>
      </w:r>
      <w:proofErr w:type="spellStart"/>
      <w:r>
        <w:t>Kotoribe</w:t>
      </w:r>
      <w:proofErr w:type="spellEnd"/>
      <w:r>
        <w:t xml:space="preserve"> što iznosi 9.885,04 eura, povećanja naknade poreznoj upravi.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7.660,38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15.738,75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205,5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2025. godini održani su Lokalni izbori te je u ovom programu rashod veći za 105,5% zbog isplate naknada članovima izbornog povjerenstva i proširenom sastavu. 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18.925,56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23.586,34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Rashod za reprezentaciju je veći za 4.660,78 eura tj. 24,6% zbog poskupljena cijena usluga koje su se koristile kod organizacije manifestacija i okrepom gostiju koji su nastupali na kulturnim programima, okrepa za svečanu sjednicu Općinskog vijeća. 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11.985,59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Kamate na kredit su manje jer je dugoročni kredit ugovoren u ratama pa stoga iznos glavnice u svakom obroku je a iznos kamate se manji kako se dug smanjuje. To znači da su početne rate veće, a kasnije rate postaju manje.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odnosu na prošlogodišnje promatrano razdoblje subvencije poljoprivrednicima su veće za 106,7% tj. 3.957,00 eura jer na Javni poziv za dodjelu potpora za očuvanje pčelinjeg fonda se javilo više pčelara sa više prijavljenih košnica.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odnosu na prošlogodišnje promatrano razdoblje subvencije poljoprivrednicima su veće za 106,7%  jer na Javni poziv za dodjelu potpora za očuvanje pčelinjeg fonda se javilo više pčelara sa više prijavljenih košnica. Pravo je ostvarilo 13 pčelara sa 680 koš</w:t>
      </w:r>
      <w:r>
        <w:t>nica po cijeni 10 eura po košnici.</w:t>
      </w:r>
    </w:p>
    <w:p w:rsidR="00CC1A9C" w:rsidRDefault="0093788B">
      <w:r>
        <w:t> 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drugom proračunu i izvanproračunskim </w:t>
            </w:r>
            <w:r>
              <w:rPr>
                <w:sz w:val="18"/>
              </w:rPr>
              <w:t>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11.311,35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12.662,43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ovom programu rashod je veći za 11,9% u odnosu na 2024. godinu zbog povećanja troškova sufinanciranja komunalnog redara koji dijelimo sukladno Sporazumu sa tri susjedne općine. 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13.483,77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25.525,60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189,3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lastRenderedPageBreak/>
        <w:t xml:space="preserve">U ovom programu veći je rashod za 89,3 % a odnosi se na rashode prema Odluci načelnika za tekuću pomoć Osnovnoj školi </w:t>
      </w:r>
      <w:proofErr w:type="spellStart"/>
      <w:r>
        <w:t>Kotoriba</w:t>
      </w:r>
      <w:proofErr w:type="spellEnd"/>
      <w:r>
        <w:t xml:space="preserve"> za nabavu stolnih računala i izradu dokumentacije idejnog projekta za dogradnju škole te tekuća pomoć sukladno  Odluci načelnik</w:t>
      </w:r>
      <w:r>
        <w:t>a i sporazumu o sufinanciranju kombija s rampom za djecu s posebnim potrebama.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209.337,77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345.155,94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164,9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Odnosi se na dotaciju sredstava proračunskim korisnicima Dječjem vrtiću </w:t>
      </w:r>
      <w:proofErr w:type="spellStart"/>
      <w:r>
        <w:t>Kotoriba</w:t>
      </w:r>
      <w:proofErr w:type="spellEnd"/>
      <w:r>
        <w:t xml:space="preserve"> i Knjižnici i čitaonici </w:t>
      </w:r>
      <w:proofErr w:type="spellStart"/>
      <w:r>
        <w:t>Kotoriba</w:t>
      </w:r>
      <w:proofErr w:type="spellEnd"/>
      <w:r>
        <w:t xml:space="preserve"> za plaće i naknade a rashod je veći za 64,9% zbog povećanja plaća zaposlenima, povećanja broja djece u dječjem vrtiću.  Općina </w:t>
      </w:r>
      <w:proofErr w:type="spellStart"/>
      <w:r>
        <w:t>Kotoriba</w:t>
      </w:r>
      <w:proofErr w:type="spellEnd"/>
      <w:r>
        <w:t xml:space="preserve"> kao os</w:t>
      </w:r>
      <w:r>
        <w:t>nivač Dječjeg vrtića sufinancira 80% ekonomske cijene vrtića za smještaj djece u dječjem vrtiću te zbog povećanja ekonomske cijene 01.01.2025. i konstantnim povećavanjem upisane djece općini se povećava rashod. Tokom 2025. godine započela je adaptacija i d</w:t>
      </w:r>
      <w:r>
        <w:t>ogradnja zgrade Knjižnice i čitaonice te je rashod prema isporučenom računu 30.008,54 eura.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40.305,14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93.903,30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Ova vrsta rashoda veća je za 133% a razlog je: Novim odlukama donesenim na Općinskom vijeću i koje se počinju provoditi u 2025. godini daje se pomoć djeci s autizmom i dijabetesom te isplaćen iznos od 6.57,36 eura , dok ostali rashod se odnosi na božićnice</w:t>
      </w:r>
      <w:r>
        <w:t xml:space="preserve"> i </w:t>
      </w:r>
      <w:proofErr w:type="spellStart"/>
      <w:r>
        <w:t>uskrsnice</w:t>
      </w:r>
      <w:proofErr w:type="spellEnd"/>
      <w:r>
        <w:t xml:space="preserve"> umirovljenicima i socijalno ugroženim mještanima  te je veći broj potrebitih i u odnosu na 2024. godinu. Prema javnom pozivu studentima isplaćene su pomoći redovnim studentima za 11.700,00 eura više nego u prošlogodišnjem promatranom razdoblju</w:t>
      </w:r>
      <w:r>
        <w:t xml:space="preserve"> zbog većeg prijavljenih studenata te sukladno sporazumu sa Obrtničkom komorom Međimurske županije sufinancira se stipendija učenicima deficitarnih zanimanja u iznosu od 3.600,00 eura što u prošlogodišnjem promatranom razdoblju nije bilo ostvareno.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146.149,32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210.495,27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lastRenderedPageBreak/>
        <w:t>Sukladno sklopljenim Ugovorima sa udrugama evidentirani su iznosi kao rashodi sukladno novom Pravilniku o proračunskom računovodstvu i računskom planu. Rashod je veći za 44% zbog većih dotacija udrugama na temelju njihovih zahtjeva, a njihovi zahtjevi su v</w:t>
      </w:r>
      <w:r>
        <w:t>eći zbog poskupljenja svih usluga, dobara, namirnica i sl.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CC1A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Ukupni rashodi poslovanja </w:t>
            </w:r>
            <w:r>
              <w:rPr>
                <w:sz w:val="18"/>
              </w:rPr>
              <w:t>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1.171.786,99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1.652.623,87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Rashod poslovanja Općine je veći ponajviše kako je po stavkama i obrazloženo zbog povećanja cijena usluga, dobara, namirnica i sl. na što ne možemo utjecati. Stoga svaka investicija, nabava, usluga je znatno skuplja i kroz 2025. godinu su se povećavale cij</w:t>
      </w:r>
      <w:r>
        <w:t>ene za iste radnje koje su se odrađivale kroz prijašnje godine.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</w:t>
            </w:r>
            <w:r>
              <w:rPr>
                <w:sz w:val="18"/>
              </w:rPr>
              <w:t>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51.052,72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1.071.604,69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2099,0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Sukladno novom Pravilniku o proračunskom računovodstvu i računskom planu evidentiran je sklopljen ugovor o bespovratnim sredstvima za projekt EU Rekonstrukcije stare škole "Novo ruho stara škola" u iznosu od 1.028.166,43 eura stoga je evidentirano povećanj</w:t>
      </w:r>
      <w:r>
        <w:t>e računa 96 u odnosu na prošlogodišnje promatrano razdoblje.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96.741,94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4,4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2025. godini sukladno planu proračuna nije ostvarena prodaja zemljišta, građevinskog zemljišta kao prethodne godine.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291,5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Kupljen je stambeni objekt za potrebe udruga koje djeluju na području Općine.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271.108,92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99.429,70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Rashod se odnosi na izradu projektno-tehničke dokumentacije biciklističke infrastrukture na području općine dok ostalih ulaganja nije bilo.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26.110,10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48.939,06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187,4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Općina </w:t>
      </w:r>
      <w:proofErr w:type="spellStart"/>
      <w:r>
        <w:t>Kotoriba</w:t>
      </w:r>
      <w:proofErr w:type="spellEnd"/>
      <w:r>
        <w:t xml:space="preserve"> u postupku je instaliranja i postavljanja  kamere za nadzor brzine. Sukladno javnoj nabavi , projektu opremanja i sklopljenom ugovoru nabavljena je oprema za dječje igralište dječjeg vrtića.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667,5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Povećan je rashod zbog izrade prostornog plana Nova generacija u iznosu od 19.500,00 eura.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41.877,16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324.385,43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774,6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Tokom 2025. godine započela je rekonstrukcija zgrade Stare škole u sklopu EU projekta te je prema fazama do kraja 2025. godine rashod 116.109,75 eura. Kod zgrade spremišta komunalnih strojeva postavljena je ograda, napravljena nadstrešnica, uređeno dvorišt</w:t>
      </w:r>
      <w:r>
        <w:t>e i postavljen asfalt. Započelo je uređenje i sanacija obale te uređenje okoliša "</w:t>
      </w:r>
      <w:proofErr w:type="spellStart"/>
      <w:r>
        <w:t>Šudrane</w:t>
      </w:r>
      <w:proofErr w:type="spellEnd"/>
      <w:r>
        <w:t>" temeljem projekta sa Ministarstvom graditeljstva i prostornog uređenja te su isporučeni računi za dvije faze u iznosu od 156.537,50 eura.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1.028.935,29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1.347.385,37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Povećanje u ovoj skupini je zbog započetog uređenja i sanacija obale te uređenje okoliša "</w:t>
      </w:r>
      <w:proofErr w:type="spellStart"/>
      <w:r>
        <w:t>Šudrane</w:t>
      </w:r>
      <w:proofErr w:type="spellEnd"/>
      <w:r>
        <w:t>" temeljem projekta sa Ministarstvom graditeljstva i prostornog uređenja te su isporučeni računi za dvije faze u iznosu od 156.537,50 eura 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25.776,51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44.822,76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173,9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ovoj skupini povećanje se odnosi za nabavu opreme za dječje igralište kod dječjeg vrtića, a nabava je bila dijelom financirana od strane Ministarstva demografije i useljeništva. Iznos nabave opreme je 19.260,00 eura.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lastRenderedPageBreak/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24.842,61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41.175,11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U ovoj skupini povećanje od 65.7% odnosi se na izradu projektne dokumentacije za Solarnu elektranu u pripremi, pripremne radove za kameru nadzora brzine.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63.948,83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1.084.383,43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1695,7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Sukladno novom Pravilniku o proračunskom računovodstvu i računskom planu evidentiran je sklopljen ugovor o bespovratnim sredstvima za projekt EU Rekonstrukcije stare škole "Novo ruho stara škola" u iznosu od 1.028.166,43 eura stoga je evidentirano povećanj</w:t>
      </w:r>
      <w:r>
        <w:t>e računa 16 u odnosu na prošlogodišnje promatrano razdoblje.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16.839,05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23.338,42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138,6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Obveze za zaposlene su obveze za plaće 12/2025 godinu JUO, a povećanje od 38,6% je iz razloga što u odnosu na prošlogodišnje promatrano razdoblje JUP ima jedno novo zaposlenje te su u lipnju 2025. godine povećane plaće radi usklađivanja sa inflacijom i tro</w:t>
      </w:r>
      <w:r>
        <w:t>škovima života.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subvencije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Obveza za subvencije je obveza za subvenciju poljoprivrednicima kojoj je dospijeće u siječnju 2026. godine a odnosi se na kontrolu plodnosti tla.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19.181,75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Na području općine u tijeku je postavljanje optičkog interneta pa za te potrebe potrebno je postaviti nove stupove javne rasvjete stoga je potrebno i provesti stručni nadzor. Nedospjela je obveza odnosi se na postavljanje stupova JR i stručni nadzor u izno</w:t>
      </w:r>
      <w:r>
        <w:t>su od 24.250,00 eura koja dospijeva u siječnju 2026. godine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51.052,72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1.071.604,69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2099,0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Sukladno novom Pravilniku o proračunskom računovodstvu i računskom planu evidentiran je sklopljen ugovor o bespovratnim sredstvima za projekt EU Rekonstrukcije stare škole "Novo ruho stara škola" u iznosu od 1.028.166,43 eura stoga je evidentirano povećanj</w:t>
      </w:r>
      <w:r>
        <w:t>e računa 96 u odnosu na prošlogodišnje promatrano razdoblje.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1.023.541,43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Sukladno novom Pravilniku o proračunskom računovodstvu i računskom planu evidentiran je sklopljen ugovor o bespovratnim sredstvima za projekt EU Rekonstrukcije stare škole "Novo ruho stara škola" u iznosu od 1.028.166,43 eura stoga je evidentirano povećanj</w:t>
      </w:r>
      <w:r>
        <w:t>e računa 96 u odnosu na prošlogodišnje promatrano razdoblje.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lastRenderedPageBreak/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73.102,62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1.097.518,61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1501,3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>Sukladno novom Pravilniku o proračunskom računovodstvu i računskom planu evidentiran je sklopljen ugovor o bespovratnim sredstvima za projekt EU Rekonstrukcije stare škole "Novo ruho stara škola" u iznosu od 1.028.166,43 eura stoga je evidentirano povećanj</w:t>
      </w:r>
      <w:r>
        <w:t>e računa 16 u odnosu na prošlogodišnje promatrano razdoblje.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C1A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1A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CC1A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1A9C" w:rsidRDefault="0093788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1A9C" w:rsidRDefault="00CC1A9C">
      <w:pPr>
        <w:spacing w:after="0"/>
      </w:pPr>
    </w:p>
    <w:p w:rsidR="00CC1A9C" w:rsidRDefault="0093788B">
      <w:r>
        <w:t xml:space="preserve">Dospjelih obveza na kraju izvještajnog razdoblja nema, dok nedospjele obveze na kraju izvještajnog razdoblja su sve obveze prema dobavljačima, zaposlenicima, dugoročnom kreditu, nabavu nefinancijske imovine,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koji se odnose na</w:t>
      </w:r>
      <w:r>
        <w:t xml:space="preserve"> prihode proračunskih korisnika u sveukupnom iznosu od 608.633,92 eura.  </w:t>
      </w:r>
    </w:p>
    <w:p w:rsidR="00CC1A9C" w:rsidRDefault="00CC1A9C"/>
    <w:p w:rsidR="00CC1A9C" w:rsidRDefault="0093788B">
      <w:pPr>
        <w:keepNext/>
        <w:spacing w:line="240" w:lineRule="auto"/>
        <w:jc w:val="center"/>
      </w:pPr>
      <w:r>
        <w:rPr>
          <w:sz w:val="28"/>
        </w:rPr>
        <w:t>Bilješka 69.</w:t>
      </w:r>
    </w:p>
    <w:p w:rsidR="00CC1A9C" w:rsidRDefault="0093788B">
      <w:pPr>
        <w:spacing w:line="240" w:lineRule="auto"/>
        <w:jc w:val="both"/>
      </w:pPr>
      <w:r>
        <w:rPr>
          <w:b/>
        </w:rPr>
        <w:t>EU izvještaj</w:t>
      </w:r>
    </w:p>
    <w:p w:rsidR="00CC1A9C" w:rsidRDefault="0093788B">
      <w:r>
        <w:t>U 2024. godini započeo je projekt obnove zgrade stare škole te je u 2025. godini sklopljen ugovor o bespovratnim sredstvima za projekt EU Rekonstrukcije st</w:t>
      </w:r>
      <w:r>
        <w:t>are škole "Novo ruho stara škola" u iznosu od 1.028.166,43 eura. Prema predanim ZNS-ovima ove godine odobrena su nam sredstva koja smo i prihodovali za plaćene račune iz 2024. godini u iznosu od 4.625,00 eura. </w:t>
      </w:r>
    </w:p>
    <w:p w:rsidR="00CC1A9C" w:rsidRDefault="00CC1A9C"/>
    <w:sectPr w:rsidR="00CC1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9C"/>
    <w:rsid w:val="004767AA"/>
    <w:rsid w:val="0093788B"/>
    <w:rsid w:val="00CC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97DC5-955C-4614-9BBA-4DF9E5DA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5180</Words>
  <Characters>29528</Characters>
  <Application>Microsoft Office Word</Application>
  <DocSecurity>0</DocSecurity>
  <Lines>246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2026-02-13T11:15:00Z</cp:lastPrinted>
  <dcterms:created xsi:type="dcterms:W3CDTF">2026-02-13T11:15:00Z</dcterms:created>
  <dcterms:modified xsi:type="dcterms:W3CDTF">2026-02-13T11:15:00Z</dcterms:modified>
</cp:coreProperties>
</file>