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CA" w:rsidRPr="00CA3429" w:rsidRDefault="002A67CA" w:rsidP="002A67CA">
      <w:r w:rsidRPr="00CA3429">
        <w:t xml:space="preserve">          </w:t>
      </w:r>
      <w:r w:rsidR="00086262" w:rsidRPr="00CA3429">
        <w:fldChar w:fldCharType="begin"/>
      </w:r>
      <w:r w:rsidRPr="00CA3429">
        <w:instrText xml:space="preserve"> INCLUDEPICTURE "http://crostamps.com/old/rh_grb.jpg" \* MERGEFORMATINET </w:instrText>
      </w:r>
      <w:r w:rsidR="00086262" w:rsidRPr="00CA3429">
        <w:fldChar w:fldCharType="separate"/>
      </w:r>
      <w:r w:rsidR="00086262" w:rsidRPr="00CA3429">
        <w:fldChar w:fldCharType="begin"/>
      </w:r>
      <w:r w:rsidR="00335BDE" w:rsidRPr="00CA3429">
        <w:instrText xml:space="preserve"> INCLUDEPICTURE  "http://crostamps.com/old/rh_grb.jpg" \* MERGEFORMATINET </w:instrText>
      </w:r>
      <w:r w:rsidR="00086262" w:rsidRPr="00CA3429">
        <w:fldChar w:fldCharType="separate"/>
      </w:r>
      <w:r w:rsidR="00086262" w:rsidRPr="00CA3429">
        <w:fldChar w:fldCharType="begin"/>
      </w:r>
      <w:r w:rsidR="00FE6C41" w:rsidRPr="00CA3429">
        <w:instrText xml:space="preserve"> INCLUDEPICTURE  "http://crostamps.com/old/rh_grb.jpg" \* MERGEFORMATINET </w:instrText>
      </w:r>
      <w:r w:rsidR="00086262" w:rsidRPr="00CA3429">
        <w:fldChar w:fldCharType="separate"/>
      </w:r>
      <w:r w:rsidR="00086262" w:rsidRPr="00CA3429">
        <w:fldChar w:fldCharType="begin"/>
      </w:r>
      <w:r w:rsidR="00D764BE" w:rsidRPr="00CA3429">
        <w:instrText xml:space="preserve"> INCLUDEPICTURE  "http://crostamps.com/old/rh_grb.jpg" \* MERGEFORMATINET </w:instrText>
      </w:r>
      <w:r w:rsidR="00086262" w:rsidRPr="00CA3429">
        <w:fldChar w:fldCharType="separate"/>
      </w:r>
      <w:r w:rsidR="00086262" w:rsidRPr="00CA3429">
        <w:fldChar w:fldCharType="begin"/>
      </w:r>
      <w:r w:rsidR="006D084A" w:rsidRPr="00CA3429">
        <w:instrText xml:space="preserve"> INCLUDEPICTURE  "http://crostamps.com/old/rh_grb.jpg" \* MERGEFORMATINET </w:instrText>
      </w:r>
      <w:r w:rsidR="00086262" w:rsidRPr="00CA3429">
        <w:fldChar w:fldCharType="separate"/>
      </w:r>
      <w:r w:rsidR="00086262" w:rsidRPr="00CA3429">
        <w:fldChar w:fldCharType="begin"/>
      </w:r>
      <w:r w:rsidRPr="00CA3429">
        <w:instrText xml:space="preserve"> INCLUDEPICTURE  "http://crostamps.com/old/rh_grb.jpg" \* MERGEFORMATINET </w:instrText>
      </w:r>
      <w:r w:rsidR="00086262" w:rsidRPr="00CA3429">
        <w:fldChar w:fldCharType="separate"/>
      </w:r>
      <w:r w:rsidR="00086262">
        <w:fldChar w:fldCharType="begin"/>
      </w:r>
      <w:r>
        <w:instrText xml:space="preserve"> INCLUDEPICTURE  "http://crostamps.com/old/rh_grb.jpg" \* MERGEFORMATINET </w:instrText>
      </w:r>
      <w:r w:rsidR="00086262">
        <w:fldChar w:fldCharType="separate"/>
      </w:r>
      <w:r w:rsidR="00086262">
        <w:fldChar w:fldCharType="begin"/>
      </w:r>
      <w:r>
        <w:instrText xml:space="preserve"> INCLUDEPICTURE  "http://crostamps.com/old/rh_grb.jpg" \* MERGEFORMATINET </w:instrText>
      </w:r>
      <w:r w:rsidR="00086262">
        <w:fldChar w:fldCharType="separate"/>
      </w:r>
      <w:r w:rsidR="00086262">
        <w:fldChar w:fldCharType="begin"/>
      </w:r>
      <w:r>
        <w:instrText xml:space="preserve"> INCLUDEPICTURE  "http://crostamps.com/old/rh_grb.jpg" \* MERGEFORMATINET </w:instrText>
      </w:r>
      <w:r w:rsidR="00086262">
        <w:fldChar w:fldCharType="separate"/>
      </w:r>
      <w:r w:rsidR="00380A1C">
        <w:fldChar w:fldCharType="begin"/>
      </w:r>
      <w:r w:rsidR="00380A1C">
        <w:instrText xml:space="preserve"> INCLUDEPICTURE  "http://crostamps.com/old/rh_grb.jpg" \* MERGEFORMATINET </w:instrText>
      </w:r>
      <w:r w:rsidR="00380A1C">
        <w:fldChar w:fldCharType="separate"/>
      </w:r>
      <w:r w:rsidR="006A65E3">
        <w:fldChar w:fldCharType="begin"/>
      </w:r>
      <w:r w:rsidR="006A65E3">
        <w:instrText xml:space="preserve"> INCLUDEPICTURE  "http://crostamps.com/old/rh_grb.jpg" \* MERGEFORMATINET </w:instrText>
      </w:r>
      <w:r w:rsidR="006A65E3">
        <w:fldChar w:fldCharType="separate"/>
      </w:r>
      <w:r w:rsidR="00260F6C">
        <w:fldChar w:fldCharType="begin"/>
      </w:r>
      <w:r w:rsidR="00260F6C">
        <w:instrText xml:space="preserve"> INCLUDEPICTURE  "http://crostamps.com/old/rh_grb.jpg" \* MERGEFORMATINET </w:instrText>
      </w:r>
      <w:r w:rsidR="00260F6C">
        <w:fldChar w:fldCharType="separate"/>
      </w:r>
      <w:r w:rsidR="0034763C">
        <w:fldChar w:fldCharType="begin"/>
      </w:r>
      <w:r w:rsidR="0034763C">
        <w:instrText xml:space="preserve"> </w:instrText>
      </w:r>
      <w:r w:rsidR="0034763C">
        <w:instrText>INCLUDEPICTURE  "http://crostamps.com/old/rh_grb.jpg" \* MERGEFORMATINET</w:instrText>
      </w:r>
      <w:r w:rsidR="0034763C">
        <w:instrText xml:space="preserve"> </w:instrText>
      </w:r>
      <w:r w:rsidR="0034763C">
        <w:fldChar w:fldCharType="separate"/>
      </w:r>
      <w:r w:rsidR="00B618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crostamps.com/old/rh_grb.jpg" style="width:35.25pt;height:45pt">
            <v:imagedata r:id="rId8" r:href="rId9"/>
          </v:shape>
        </w:pict>
      </w:r>
      <w:r w:rsidR="0034763C">
        <w:fldChar w:fldCharType="end"/>
      </w:r>
      <w:r w:rsidR="00260F6C">
        <w:fldChar w:fldCharType="end"/>
      </w:r>
      <w:r w:rsidR="006A65E3">
        <w:fldChar w:fldCharType="end"/>
      </w:r>
      <w:r w:rsidR="00380A1C">
        <w:fldChar w:fldCharType="end"/>
      </w:r>
      <w:r w:rsidR="00086262">
        <w:fldChar w:fldCharType="end"/>
      </w:r>
      <w:r w:rsidR="00086262">
        <w:fldChar w:fldCharType="end"/>
      </w:r>
      <w:r w:rsidR="00086262">
        <w:fldChar w:fldCharType="end"/>
      </w:r>
      <w:r w:rsidR="00086262" w:rsidRPr="00CA3429">
        <w:fldChar w:fldCharType="end"/>
      </w:r>
      <w:r w:rsidR="00086262" w:rsidRPr="00CA3429">
        <w:fldChar w:fldCharType="end"/>
      </w:r>
      <w:r w:rsidR="00086262" w:rsidRPr="00CA3429">
        <w:fldChar w:fldCharType="end"/>
      </w:r>
      <w:r w:rsidR="00086262" w:rsidRPr="00CA3429">
        <w:fldChar w:fldCharType="end"/>
      </w:r>
      <w:r w:rsidR="00086262" w:rsidRPr="00CA3429">
        <w:fldChar w:fldCharType="end"/>
      </w:r>
      <w:r w:rsidR="00086262" w:rsidRPr="00CA3429">
        <w:fldChar w:fldCharType="end"/>
      </w:r>
    </w:p>
    <w:p w:rsidR="002A67CA" w:rsidRPr="00CA3429" w:rsidRDefault="002A67CA" w:rsidP="002A67CA">
      <w:pPr>
        <w:rPr>
          <w:b/>
        </w:rPr>
      </w:pPr>
      <w:r w:rsidRPr="00CA3429">
        <w:rPr>
          <w:b/>
        </w:rPr>
        <w:t>REPUBLIKA HRVATSKA</w:t>
      </w:r>
    </w:p>
    <w:p w:rsidR="002A67CA" w:rsidRPr="00CA3429" w:rsidRDefault="00766AE1" w:rsidP="002A67CA">
      <w:pPr>
        <w:rPr>
          <w:b/>
        </w:rPr>
      </w:pPr>
      <w:r>
        <w:rPr>
          <w:b/>
        </w:rPr>
        <w:t xml:space="preserve">MEĐIMURSKA </w:t>
      </w:r>
      <w:r w:rsidR="002A67CA" w:rsidRPr="00CA3429">
        <w:rPr>
          <w:b/>
        </w:rPr>
        <w:t>ŽUPANIJA</w:t>
      </w:r>
    </w:p>
    <w:p w:rsidR="00E55F86" w:rsidRPr="00E55F86" w:rsidRDefault="002A67CA" w:rsidP="002A67CA">
      <w:pPr>
        <w:rPr>
          <w:b/>
        </w:rPr>
      </w:pPr>
      <w:r w:rsidRPr="00CA3429">
        <w:rPr>
          <w:b/>
        </w:rPr>
        <w:t xml:space="preserve">OPĆINA </w:t>
      </w:r>
      <w:r w:rsidR="00766AE1">
        <w:rPr>
          <w:b/>
        </w:rPr>
        <w:t>KOTORIBA</w:t>
      </w:r>
    </w:p>
    <w:p w:rsidR="002A67CA" w:rsidRDefault="00E55F86" w:rsidP="002A67CA">
      <w:pPr>
        <w:rPr>
          <w:b/>
        </w:rPr>
      </w:pPr>
      <w:r>
        <w:rPr>
          <w:b/>
        </w:rPr>
        <w:t xml:space="preserve">OPĆINSKO VIJEĆE </w:t>
      </w:r>
    </w:p>
    <w:p w:rsidR="00E55F86" w:rsidRPr="00D5052F" w:rsidRDefault="00E55F86" w:rsidP="00E55F8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szCs w:val="24"/>
        </w:rPr>
      </w:pPr>
      <w:r w:rsidRPr="00D5052F">
        <w:rPr>
          <w:rFonts w:eastAsia="Times New Roman"/>
          <w:b/>
          <w:szCs w:val="24"/>
        </w:rPr>
        <w:t xml:space="preserve">KLASA: </w:t>
      </w:r>
      <w:r w:rsidR="00B6188F">
        <w:rPr>
          <w:rFonts w:eastAsia="Times New Roman"/>
          <w:b/>
          <w:szCs w:val="24"/>
        </w:rPr>
        <w:t>320-02/24-01/01</w:t>
      </w:r>
    </w:p>
    <w:p w:rsidR="00E55F86" w:rsidRPr="00D5052F" w:rsidRDefault="00E55F86" w:rsidP="00E55F8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szCs w:val="24"/>
        </w:rPr>
      </w:pPr>
      <w:r w:rsidRPr="00D5052F">
        <w:rPr>
          <w:rFonts w:eastAsia="Times New Roman"/>
          <w:b/>
          <w:szCs w:val="24"/>
        </w:rPr>
        <w:t>URBROJ: 2109-9-3-24-</w:t>
      </w:r>
      <w:r w:rsidR="00B6188F">
        <w:rPr>
          <w:rFonts w:eastAsia="Times New Roman"/>
          <w:b/>
          <w:szCs w:val="24"/>
        </w:rPr>
        <w:t>14</w:t>
      </w:r>
    </w:p>
    <w:p w:rsidR="00E55F86" w:rsidRPr="00D5052F" w:rsidRDefault="00B6188F" w:rsidP="00E55F8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Kotoriba, 3. rujna</w:t>
      </w:r>
      <w:r w:rsidR="00E55F86" w:rsidRPr="00D5052F">
        <w:rPr>
          <w:rFonts w:eastAsia="Times New Roman"/>
          <w:b/>
          <w:szCs w:val="24"/>
        </w:rPr>
        <w:t xml:space="preserve"> 2024.</w:t>
      </w:r>
    </w:p>
    <w:p w:rsidR="00E55F86" w:rsidRPr="00CA3429" w:rsidRDefault="00E55F86" w:rsidP="002A67CA">
      <w:pPr>
        <w:rPr>
          <w:b/>
        </w:rPr>
      </w:pPr>
    </w:p>
    <w:p w:rsidR="002A67CA" w:rsidRPr="00CA3429" w:rsidRDefault="002A67CA" w:rsidP="002A67CA">
      <w:pPr>
        <w:rPr>
          <w:b/>
        </w:rPr>
      </w:pPr>
    </w:p>
    <w:p w:rsidR="00BB7E2C" w:rsidRPr="00F97518" w:rsidRDefault="00BB7E2C" w:rsidP="00E200F1">
      <w:pPr>
        <w:spacing w:line="240" w:lineRule="auto"/>
        <w:ind w:firstLine="709"/>
        <w:rPr>
          <w:szCs w:val="24"/>
        </w:rPr>
      </w:pPr>
      <w:r w:rsidRPr="00CA3429">
        <w:rPr>
          <w:szCs w:val="24"/>
        </w:rPr>
        <w:t>Na temelju članka 31. stavka 2</w:t>
      </w:r>
      <w:r w:rsidR="003768A7" w:rsidRPr="00CA3429">
        <w:rPr>
          <w:szCs w:val="24"/>
        </w:rPr>
        <w:t>1</w:t>
      </w:r>
      <w:r w:rsidRPr="00CA3429">
        <w:rPr>
          <w:szCs w:val="24"/>
        </w:rPr>
        <w:t>. Zakona o poljoprivrednom zemljištu („Narodne novine“ br. 20/18, 115/18, 98/19, 5</w:t>
      </w:r>
      <w:r w:rsidRPr="00F97518">
        <w:rPr>
          <w:szCs w:val="24"/>
        </w:rPr>
        <w:t xml:space="preserve">7/22) i članka </w:t>
      </w:r>
      <w:r w:rsidR="00B73D9E">
        <w:rPr>
          <w:szCs w:val="24"/>
        </w:rPr>
        <w:t>29</w:t>
      </w:r>
      <w:r w:rsidR="00886440">
        <w:rPr>
          <w:szCs w:val="24"/>
        </w:rPr>
        <w:t>.</w:t>
      </w:r>
      <w:r w:rsidRPr="00F97518">
        <w:rPr>
          <w:szCs w:val="24"/>
        </w:rPr>
        <w:t xml:space="preserve"> Statuta Općine </w:t>
      </w:r>
      <w:r w:rsidR="00B73D9E">
        <w:rPr>
          <w:szCs w:val="24"/>
        </w:rPr>
        <w:t>Kotoriba</w:t>
      </w:r>
      <w:r w:rsidRPr="00F97518">
        <w:rPr>
          <w:szCs w:val="24"/>
        </w:rPr>
        <w:t xml:space="preserve"> </w:t>
      </w:r>
      <w:r w:rsidR="00B73D9E">
        <w:rPr>
          <w:szCs w:val="24"/>
        </w:rPr>
        <w:t xml:space="preserve">KLASA: </w:t>
      </w:r>
      <w:r w:rsidR="0033229F">
        <w:rPr>
          <w:szCs w:val="24"/>
        </w:rPr>
        <w:t>012-03/21-01/01, URBROJ: 2109/9-3-21-1 od 24. veljače 2021. godine,</w:t>
      </w:r>
      <w:r w:rsidRPr="00F97518">
        <w:rPr>
          <w:szCs w:val="24"/>
        </w:rPr>
        <w:t xml:space="preserve"> na prijedlog Povjerenstva za zakup poljoprivrednog zemljišta u vlasništvu Republike Hrvatske na području Općine </w:t>
      </w:r>
      <w:r w:rsidR="0033229F">
        <w:rPr>
          <w:szCs w:val="24"/>
        </w:rPr>
        <w:t>Kotoriba</w:t>
      </w:r>
      <w:r w:rsidRPr="00F97518">
        <w:rPr>
          <w:szCs w:val="24"/>
        </w:rPr>
        <w:t>, a nakon dobivene prethodne suglasnosti</w:t>
      </w:r>
      <w:r w:rsidR="00346AE2" w:rsidRPr="00F97518">
        <w:rPr>
          <w:szCs w:val="24"/>
        </w:rPr>
        <w:t xml:space="preserve"> </w:t>
      </w:r>
      <w:r w:rsidRPr="00F97518">
        <w:rPr>
          <w:szCs w:val="24"/>
        </w:rPr>
        <w:t xml:space="preserve">Ministarstva poljoprivrede (KLASA: </w:t>
      </w:r>
      <w:r w:rsidR="00447AFC">
        <w:rPr>
          <w:szCs w:val="24"/>
        </w:rPr>
        <w:t>320-02/24-01/01</w:t>
      </w:r>
      <w:r w:rsidRPr="00F97518">
        <w:rPr>
          <w:szCs w:val="24"/>
        </w:rPr>
        <w:t xml:space="preserve">, URBROJ: </w:t>
      </w:r>
      <w:r w:rsidR="00447AFC">
        <w:rPr>
          <w:szCs w:val="24"/>
        </w:rPr>
        <w:t>2109-9-2-24-13</w:t>
      </w:r>
      <w:r w:rsidRPr="00F97518">
        <w:rPr>
          <w:szCs w:val="24"/>
        </w:rPr>
        <w:t xml:space="preserve">, od dana </w:t>
      </w:r>
      <w:r w:rsidR="00447AFC">
        <w:rPr>
          <w:szCs w:val="24"/>
        </w:rPr>
        <w:t>7. kolovoza</w:t>
      </w:r>
      <w:r w:rsidR="00D5394D">
        <w:rPr>
          <w:szCs w:val="24"/>
        </w:rPr>
        <w:t xml:space="preserve"> 2024</w:t>
      </w:r>
      <w:r w:rsidR="00B060F6" w:rsidRPr="00F97518">
        <w:rPr>
          <w:szCs w:val="24"/>
        </w:rPr>
        <w:t>. godine</w:t>
      </w:r>
      <w:r w:rsidRPr="00F97518">
        <w:rPr>
          <w:szCs w:val="24"/>
        </w:rPr>
        <w:t xml:space="preserve">), Općinsko vijeće Općine </w:t>
      </w:r>
      <w:r w:rsidR="00D5394D">
        <w:rPr>
          <w:szCs w:val="24"/>
        </w:rPr>
        <w:t>Kotoriba</w:t>
      </w:r>
      <w:r w:rsidR="00EC575A" w:rsidRPr="00F97518">
        <w:rPr>
          <w:szCs w:val="24"/>
        </w:rPr>
        <w:t>,</w:t>
      </w:r>
      <w:r w:rsidRPr="00F97518">
        <w:rPr>
          <w:szCs w:val="24"/>
        </w:rPr>
        <w:t xml:space="preserve"> na svojoj </w:t>
      </w:r>
      <w:r w:rsidR="00B6188F">
        <w:rPr>
          <w:szCs w:val="24"/>
        </w:rPr>
        <w:t>21</w:t>
      </w:r>
      <w:r w:rsidR="00D764BE" w:rsidRPr="00F97518">
        <w:rPr>
          <w:szCs w:val="24"/>
        </w:rPr>
        <w:t>.</w:t>
      </w:r>
      <w:r w:rsidRPr="00F97518">
        <w:rPr>
          <w:szCs w:val="24"/>
        </w:rPr>
        <w:t xml:space="preserve"> sjednici, održanoj dana </w:t>
      </w:r>
      <w:r w:rsidR="00B6188F">
        <w:rPr>
          <w:szCs w:val="24"/>
        </w:rPr>
        <w:t xml:space="preserve">3. rujna </w:t>
      </w:r>
      <w:r w:rsidR="00D5394D">
        <w:rPr>
          <w:szCs w:val="24"/>
        </w:rPr>
        <w:t>2024</w:t>
      </w:r>
      <w:r w:rsidRPr="00F97518">
        <w:rPr>
          <w:szCs w:val="24"/>
        </w:rPr>
        <w:t>. godine, donosi</w:t>
      </w:r>
    </w:p>
    <w:p w:rsidR="002A67CA" w:rsidRPr="00F97518" w:rsidRDefault="002A67CA" w:rsidP="002A67CA">
      <w:pPr>
        <w:spacing w:after="160" w:line="259" w:lineRule="auto"/>
        <w:ind w:firstLine="708"/>
        <w:rPr>
          <w:szCs w:val="24"/>
        </w:rPr>
      </w:pPr>
    </w:p>
    <w:p w:rsidR="00BB7E2C" w:rsidRPr="00F97518" w:rsidRDefault="00BB7E2C" w:rsidP="00E200F1">
      <w:pPr>
        <w:spacing w:line="240" w:lineRule="auto"/>
        <w:jc w:val="center"/>
        <w:rPr>
          <w:b/>
          <w:bCs/>
          <w:szCs w:val="24"/>
        </w:rPr>
      </w:pPr>
      <w:r w:rsidRPr="00F97518">
        <w:rPr>
          <w:b/>
          <w:bCs/>
          <w:szCs w:val="24"/>
        </w:rPr>
        <w:t>Odluku o izboru najpovoljnije ponude</w:t>
      </w:r>
    </w:p>
    <w:p w:rsidR="00BB7E2C" w:rsidRPr="00F97518" w:rsidRDefault="00BB7E2C" w:rsidP="00E200F1">
      <w:pPr>
        <w:spacing w:line="240" w:lineRule="auto"/>
        <w:jc w:val="center"/>
        <w:rPr>
          <w:b/>
          <w:bCs/>
          <w:szCs w:val="24"/>
        </w:rPr>
      </w:pPr>
      <w:r w:rsidRPr="00F97518">
        <w:rPr>
          <w:b/>
          <w:bCs/>
          <w:szCs w:val="24"/>
        </w:rPr>
        <w:t>za zakup poljoprivrednog zemljišta u vlasništvu Republike Hrvatske</w:t>
      </w:r>
    </w:p>
    <w:p w:rsidR="00BB7E2C" w:rsidRPr="00F97518" w:rsidRDefault="00BB7E2C" w:rsidP="00E200F1">
      <w:pPr>
        <w:spacing w:line="240" w:lineRule="auto"/>
        <w:jc w:val="center"/>
        <w:rPr>
          <w:b/>
          <w:bCs/>
          <w:szCs w:val="24"/>
        </w:rPr>
      </w:pPr>
      <w:r w:rsidRPr="00F97518">
        <w:rPr>
          <w:b/>
          <w:bCs/>
          <w:szCs w:val="24"/>
        </w:rPr>
        <w:t xml:space="preserve">na području Općine </w:t>
      </w:r>
      <w:r w:rsidR="00D5394D">
        <w:rPr>
          <w:b/>
          <w:bCs/>
          <w:szCs w:val="24"/>
        </w:rPr>
        <w:t>Kotoriba</w:t>
      </w:r>
    </w:p>
    <w:p w:rsidR="00BB7E2C" w:rsidRPr="00F97518" w:rsidRDefault="00BB7E2C" w:rsidP="00BB7E2C">
      <w:pPr>
        <w:spacing w:after="160" w:line="259" w:lineRule="auto"/>
        <w:jc w:val="center"/>
        <w:rPr>
          <w:b/>
          <w:bCs/>
          <w:szCs w:val="24"/>
        </w:rPr>
      </w:pPr>
    </w:p>
    <w:p w:rsidR="00BB7E2C" w:rsidRPr="00F97518" w:rsidRDefault="00346AE2" w:rsidP="00BB7E2C">
      <w:pPr>
        <w:spacing w:after="160" w:line="259" w:lineRule="auto"/>
        <w:jc w:val="center"/>
        <w:rPr>
          <w:b/>
          <w:bCs/>
          <w:szCs w:val="24"/>
        </w:rPr>
      </w:pPr>
      <w:r w:rsidRPr="00F97518">
        <w:rPr>
          <w:b/>
          <w:bCs/>
          <w:szCs w:val="24"/>
        </w:rPr>
        <w:t>Članak 1.</w:t>
      </w:r>
    </w:p>
    <w:p w:rsidR="00BB7E2C" w:rsidRPr="00CA3429" w:rsidRDefault="00BB7E2C" w:rsidP="00EC575A">
      <w:pPr>
        <w:spacing w:line="240" w:lineRule="auto"/>
        <w:ind w:firstLine="709"/>
        <w:rPr>
          <w:szCs w:val="24"/>
        </w:rPr>
      </w:pPr>
      <w:bookmarkStart w:id="0" w:name="_GoBack"/>
      <w:bookmarkEnd w:id="0"/>
      <w:r w:rsidRPr="00F97518">
        <w:rPr>
          <w:szCs w:val="24"/>
        </w:rPr>
        <w:t xml:space="preserve">Odlukom </w:t>
      </w:r>
      <w:bookmarkStart w:id="1" w:name="_Hlk134017234"/>
      <w:r w:rsidRPr="00F97518">
        <w:rPr>
          <w:szCs w:val="24"/>
        </w:rPr>
        <w:t xml:space="preserve">o izboru najpovoljnije ponude za zakup poljoprivrednog zemljišta u vlasništvu Republike Hrvatske na području Općine </w:t>
      </w:r>
      <w:r w:rsidR="00D5394D">
        <w:rPr>
          <w:szCs w:val="24"/>
        </w:rPr>
        <w:t>Kotoriba</w:t>
      </w:r>
      <w:r w:rsidRPr="00F97518">
        <w:rPr>
          <w:szCs w:val="24"/>
        </w:rPr>
        <w:t xml:space="preserve"> </w:t>
      </w:r>
      <w:bookmarkEnd w:id="1"/>
      <w:r w:rsidRPr="00F97518">
        <w:rPr>
          <w:szCs w:val="24"/>
        </w:rPr>
        <w:t>(dalje u tekstu: Odluka) izabiru se najpovoljnije ponude za zakup poljoprivrednog zemljišta u vlasništvu Republike Hrvatske, koje su pristigle</w:t>
      </w:r>
      <w:r w:rsidR="00346AE2" w:rsidRPr="00F97518">
        <w:rPr>
          <w:szCs w:val="24"/>
        </w:rPr>
        <w:t xml:space="preserve"> na</w:t>
      </w:r>
      <w:r w:rsidRPr="00F97518">
        <w:rPr>
          <w:szCs w:val="24"/>
        </w:rPr>
        <w:t xml:space="preserve"> </w:t>
      </w:r>
      <w:r w:rsidR="00D5394D" w:rsidRPr="00644322">
        <w:rPr>
          <w:szCs w:val="24"/>
        </w:rPr>
        <w:t xml:space="preserve">Javni natječaj za zakup poljoprivrednog zemljišta u vlasništvu Republike Hrvatske na području Općine </w:t>
      </w:r>
      <w:r w:rsidR="00D5394D">
        <w:rPr>
          <w:szCs w:val="24"/>
        </w:rPr>
        <w:t>Kotoriba</w:t>
      </w:r>
      <w:r w:rsidR="00D5394D" w:rsidRPr="00644322">
        <w:rPr>
          <w:szCs w:val="24"/>
        </w:rPr>
        <w:t xml:space="preserve"> KLASA: </w:t>
      </w:r>
      <w:r w:rsidR="00D5394D">
        <w:rPr>
          <w:szCs w:val="24"/>
        </w:rPr>
        <w:t>320-02/24-01/01</w:t>
      </w:r>
      <w:r w:rsidR="00D5394D" w:rsidRPr="00644322">
        <w:rPr>
          <w:szCs w:val="24"/>
        </w:rPr>
        <w:t xml:space="preserve">, URBROJ: </w:t>
      </w:r>
      <w:r w:rsidR="00D5394D" w:rsidRPr="00F14EBC">
        <w:rPr>
          <w:szCs w:val="24"/>
        </w:rPr>
        <w:t>2109-</w:t>
      </w:r>
      <w:r w:rsidR="00D5394D">
        <w:rPr>
          <w:szCs w:val="24"/>
        </w:rPr>
        <w:t>9-3-24-3</w:t>
      </w:r>
      <w:r w:rsidR="00D5394D" w:rsidRPr="00F14EBC">
        <w:rPr>
          <w:szCs w:val="24"/>
        </w:rPr>
        <w:t xml:space="preserve"> </w:t>
      </w:r>
      <w:r w:rsidR="00D5394D">
        <w:rPr>
          <w:szCs w:val="24"/>
        </w:rPr>
        <w:t>od 12. ožujka 2024. (dalje:Javni natječaj za zakup), objavljen 15. travnja 2024</w:t>
      </w:r>
      <w:r w:rsidR="00B872B5">
        <w:rPr>
          <w:szCs w:val="24"/>
        </w:rPr>
        <w:t xml:space="preserve">. </w:t>
      </w:r>
      <w:r w:rsidR="00886440">
        <w:rPr>
          <w:szCs w:val="24"/>
        </w:rPr>
        <w:t>g</w:t>
      </w:r>
      <w:r w:rsidR="00B872B5">
        <w:rPr>
          <w:szCs w:val="24"/>
        </w:rPr>
        <w:t>odine,</w:t>
      </w:r>
      <w:r w:rsidRPr="00F97518">
        <w:rPr>
          <w:szCs w:val="24"/>
        </w:rPr>
        <w:t xml:space="preserve"> na oglasnoj ploči Općine</w:t>
      </w:r>
      <w:r w:rsidR="00EC575A" w:rsidRPr="00CA3429">
        <w:rPr>
          <w:szCs w:val="24"/>
        </w:rPr>
        <w:t xml:space="preserve"> </w:t>
      </w:r>
      <w:r w:rsidR="00B872B5">
        <w:rPr>
          <w:szCs w:val="24"/>
        </w:rPr>
        <w:t>Kotoriba</w:t>
      </w:r>
      <w:r w:rsidRPr="00CA3429">
        <w:rPr>
          <w:szCs w:val="24"/>
        </w:rPr>
        <w:t xml:space="preserve">, na web stranici Općine </w:t>
      </w:r>
      <w:r w:rsidR="00B872B5">
        <w:rPr>
          <w:szCs w:val="24"/>
        </w:rPr>
        <w:t>Kotoriba</w:t>
      </w:r>
      <w:r w:rsidRPr="00CA3429">
        <w:rPr>
          <w:szCs w:val="24"/>
        </w:rPr>
        <w:t xml:space="preserve"> te na stranicama Ministarstva poljoprivrede).</w:t>
      </w:r>
    </w:p>
    <w:p w:rsidR="00E200F1" w:rsidRPr="00CA3429" w:rsidRDefault="00E200F1" w:rsidP="00E200F1">
      <w:pPr>
        <w:spacing w:line="240" w:lineRule="auto"/>
        <w:ind w:firstLine="709"/>
        <w:rPr>
          <w:szCs w:val="24"/>
        </w:rPr>
      </w:pPr>
    </w:p>
    <w:p w:rsidR="00BB7E2C" w:rsidRPr="00CA3429" w:rsidRDefault="00346AE2" w:rsidP="00BB7E2C">
      <w:pPr>
        <w:spacing w:after="160" w:line="259" w:lineRule="auto"/>
        <w:jc w:val="center"/>
        <w:rPr>
          <w:b/>
          <w:bCs/>
          <w:szCs w:val="24"/>
        </w:rPr>
      </w:pPr>
      <w:r w:rsidRPr="00CA3429">
        <w:rPr>
          <w:b/>
          <w:bCs/>
          <w:szCs w:val="24"/>
        </w:rPr>
        <w:t>Članak 2.</w:t>
      </w:r>
    </w:p>
    <w:p w:rsidR="00BB7E2C" w:rsidRDefault="00BB7E2C" w:rsidP="00E200F1">
      <w:pPr>
        <w:spacing w:line="240" w:lineRule="auto"/>
        <w:ind w:firstLine="708"/>
        <w:rPr>
          <w:szCs w:val="24"/>
        </w:rPr>
      </w:pPr>
      <w:r w:rsidRPr="00CA3429">
        <w:rPr>
          <w:szCs w:val="24"/>
        </w:rPr>
        <w:t>Odluka se donosi za svaku katastarsku česticu pojedinačno, za koju je raspisan Javni natječaj</w:t>
      </w:r>
      <w:r w:rsidR="00AD4C27">
        <w:rPr>
          <w:szCs w:val="24"/>
        </w:rPr>
        <w:t xml:space="preserve"> za zakup</w:t>
      </w:r>
      <w:r w:rsidRPr="00CA3429">
        <w:rPr>
          <w:szCs w:val="24"/>
        </w:rPr>
        <w:t>, a koje se daju u zakup na rok od 15 godina s mogućnošću produljenja</w:t>
      </w:r>
      <w:r w:rsidR="009F4234">
        <w:rPr>
          <w:szCs w:val="24"/>
        </w:rPr>
        <w:t xml:space="preserve"> za isto razdoblje</w:t>
      </w:r>
      <w:r w:rsidR="00956003">
        <w:rPr>
          <w:szCs w:val="24"/>
        </w:rPr>
        <w:t>, prikazano u Tablici,</w:t>
      </w:r>
      <w:r w:rsidR="009F4234">
        <w:rPr>
          <w:szCs w:val="24"/>
        </w:rPr>
        <w:t xml:space="preserve"> </w:t>
      </w:r>
      <w:r w:rsidRPr="00CA3429">
        <w:rPr>
          <w:szCs w:val="24"/>
        </w:rPr>
        <w:t>kako slijedi:</w:t>
      </w:r>
    </w:p>
    <w:p w:rsidR="00CF2D60" w:rsidRDefault="00CF2D60" w:rsidP="00E200F1">
      <w:pPr>
        <w:spacing w:line="240" w:lineRule="auto"/>
        <w:ind w:firstLine="708"/>
        <w:rPr>
          <w:szCs w:val="24"/>
        </w:rPr>
      </w:pPr>
    </w:p>
    <w:p w:rsidR="00D54697" w:rsidRPr="00CA3429" w:rsidRDefault="00D54697" w:rsidP="00E200F1">
      <w:pPr>
        <w:autoSpaceDE w:val="0"/>
        <w:autoSpaceDN w:val="0"/>
        <w:adjustRightInd w:val="0"/>
        <w:spacing w:line="240" w:lineRule="auto"/>
      </w:pPr>
    </w:p>
    <w:p w:rsidR="00F168BD" w:rsidRPr="00CA3429" w:rsidRDefault="00F168BD" w:rsidP="00D54697">
      <w:pPr>
        <w:autoSpaceDE w:val="0"/>
        <w:autoSpaceDN w:val="0"/>
        <w:adjustRightInd w:val="0"/>
        <w:spacing w:line="240" w:lineRule="auto"/>
        <w:sectPr w:rsidR="00F168BD" w:rsidRPr="00CA3429" w:rsidSect="00A7765E">
          <w:footerReference w:type="default" r:id="rId10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952EEC" w:rsidRDefault="00952EEC" w:rsidP="006B542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6B5425" w:rsidRPr="00CA3429" w:rsidRDefault="0054513C" w:rsidP="006B542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Tablica</w:t>
      </w:r>
    </w:p>
    <w:p w:rsidR="00EC575A" w:rsidRPr="00CA3429" w:rsidRDefault="00EC575A" w:rsidP="006B5425">
      <w:pPr>
        <w:autoSpaceDE w:val="0"/>
        <w:autoSpaceDN w:val="0"/>
        <w:adjustRightInd w:val="0"/>
        <w:spacing w:line="240" w:lineRule="auto"/>
        <w:rPr>
          <w:szCs w:val="24"/>
        </w:rPr>
      </w:pPr>
    </w:p>
    <w:tbl>
      <w:tblPr>
        <w:tblW w:w="14545" w:type="dxa"/>
        <w:tblLayout w:type="fixed"/>
        <w:tblLook w:val="04A0" w:firstRow="1" w:lastRow="0" w:firstColumn="1" w:lastColumn="0" w:noHBand="0" w:noVBand="1"/>
      </w:tblPr>
      <w:tblGrid>
        <w:gridCol w:w="619"/>
        <w:gridCol w:w="1481"/>
        <w:gridCol w:w="633"/>
        <w:gridCol w:w="1032"/>
        <w:gridCol w:w="1410"/>
        <w:gridCol w:w="1297"/>
        <w:gridCol w:w="1110"/>
        <w:gridCol w:w="1559"/>
        <w:gridCol w:w="1022"/>
        <w:gridCol w:w="1110"/>
        <w:gridCol w:w="1636"/>
        <w:gridCol w:w="1636"/>
      </w:tblGrid>
      <w:tr w:rsidR="00EC575A" w:rsidRPr="00CA3429" w:rsidTr="00EC575A">
        <w:trPr>
          <w:trHeight w:val="13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R.br.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Naziv katastarske općine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PTC. Br.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Broj katastarske čestice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Način uporabe katastarske čestice (katastarska kultura)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</w:rPr>
              <w:t>Način uporabe katastarske čestice (stvarno stanje)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Površina (ha)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Početna zakupnina (eur</w:t>
            </w:r>
            <w:r w:rsidR="004719E7">
              <w:rPr>
                <w:rFonts w:eastAsia="Times New Roman"/>
                <w:sz w:val="16"/>
                <w:szCs w:val="16"/>
                <w:lang w:val="en-US"/>
              </w:rPr>
              <w:t>a)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575A" w:rsidRPr="00EC575A" w:rsidRDefault="00EC575A" w:rsidP="00D37736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A3429">
              <w:rPr>
                <w:rFonts w:eastAsia="Times New Roman"/>
                <w:sz w:val="16"/>
                <w:szCs w:val="16"/>
                <w:lang w:val="en-US"/>
              </w:rPr>
              <w:t xml:space="preserve">Broj </w:t>
            </w:r>
            <w:r w:rsidR="00D37736">
              <w:rPr>
                <w:rFonts w:eastAsia="Times New Roman"/>
                <w:sz w:val="16"/>
                <w:szCs w:val="16"/>
                <w:lang w:val="en-US"/>
              </w:rPr>
              <w:t>važećih ponuda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EEC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A3429">
              <w:rPr>
                <w:rFonts w:eastAsia="Times New Roman"/>
                <w:sz w:val="16"/>
                <w:szCs w:val="16"/>
                <w:lang w:val="en-US"/>
              </w:rPr>
              <w:t>Ponuđena/</w:t>
            </w:r>
          </w:p>
          <w:p w:rsidR="00EC575A" w:rsidRPr="00CA3429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A3429">
              <w:rPr>
                <w:rFonts w:eastAsia="Times New Roman"/>
                <w:sz w:val="16"/>
                <w:szCs w:val="16"/>
                <w:lang w:val="en-US"/>
              </w:rPr>
              <w:t>prihvaćena zakupnina</w:t>
            </w:r>
          </w:p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A3429">
              <w:rPr>
                <w:rFonts w:eastAsia="Times New Roman"/>
                <w:sz w:val="16"/>
                <w:szCs w:val="16"/>
                <w:lang w:val="en-US"/>
              </w:rPr>
              <w:t>(u eurima)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75A" w:rsidRPr="00CA3429" w:rsidRDefault="00EC575A" w:rsidP="00CA3429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A3429">
              <w:rPr>
                <w:rFonts w:eastAsia="Times New Roman"/>
                <w:sz w:val="16"/>
                <w:szCs w:val="16"/>
                <w:lang w:val="en-US"/>
              </w:rPr>
              <w:t>Odabir najpovoljnijeg</w:t>
            </w:r>
          </w:p>
          <w:p w:rsidR="00EC575A" w:rsidRPr="00EC575A" w:rsidRDefault="00EC575A" w:rsidP="00CA3429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A3429">
              <w:rPr>
                <w:rFonts w:eastAsia="Times New Roman"/>
                <w:sz w:val="16"/>
                <w:szCs w:val="16"/>
                <w:lang w:val="en-US"/>
              </w:rPr>
              <w:t>ponuditelja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EC575A" w:rsidRPr="00CA3429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E31506" w:rsidRPr="00CA3429" w:rsidRDefault="0064766B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Broj ostvarenih bodova</w:t>
            </w:r>
          </w:p>
        </w:tc>
      </w:tr>
      <w:tr w:rsidR="00EC575A" w:rsidRPr="00CA3429" w:rsidTr="00CA3429">
        <w:trPr>
          <w:trHeight w:val="22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575A" w:rsidRPr="00EC575A" w:rsidRDefault="00CA3429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DE7B47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KOTORIBA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75A" w:rsidRPr="00C00784" w:rsidRDefault="00C00784" w:rsidP="00EC575A">
            <w:pPr>
              <w:spacing w:after="20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C00784">
              <w:rPr>
                <w:rFonts w:eastAsia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C00784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1809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ORANICA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ORANICA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9C7D86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4,5340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9C7D86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253,96</w:t>
            </w:r>
            <w:r w:rsidR="008A282F">
              <w:rPr>
                <w:rFonts w:eastAsia="Times New Roman"/>
                <w:sz w:val="16"/>
                <w:szCs w:val="16"/>
                <w:lang w:val="en-US"/>
              </w:rPr>
              <w:t xml:space="preserve"> €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9C7D86" w:rsidP="00D37736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5A" w:rsidRPr="00EC575A" w:rsidRDefault="009C7D86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1F4758" w:rsidRDefault="009C7D86" w:rsidP="00CA3429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75A" w:rsidRDefault="00EC575A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9C7D86" w:rsidRPr="00CA3429" w:rsidRDefault="009C7D86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  <w:p w:rsidR="00E31506" w:rsidRPr="00CA3429" w:rsidRDefault="00E31506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EC575A" w:rsidRPr="00CA3429" w:rsidTr="00CA3429">
        <w:trPr>
          <w:trHeight w:val="22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575A" w:rsidRPr="00EC575A" w:rsidRDefault="00CA3429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1F4758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KOTORIBA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75A" w:rsidRPr="004719E7" w:rsidRDefault="009C7D86" w:rsidP="00EC575A">
            <w:pPr>
              <w:spacing w:after="20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719E7">
              <w:rPr>
                <w:rFonts w:eastAsia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9C7D86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3023/4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ORANICA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ORANICA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A5314B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0,8056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A5314B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45,12</w:t>
            </w:r>
            <w:r w:rsidR="004719E7">
              <w:rPr>
                <w:rFonts w:eastAsia="Times New Roman"/>
                <w:sz w:val="16"/>
                <w:szCs w:val="16"/>
                <w:lang w:val="en-US"/>
              </w:rPr>
              <w:t xml:space="preserve"> €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406340" w:rsidP="00D37736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5A" w:rsidRPr="00EC575A" w:rsidRDefault="002057A2" w:rsidP="00A5314B">
            <w:pPr>
              <w:spacing w:after="20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    </w:t>
            </w:r>
            <w:r w:rsidR="00A5314B">
              <w:rPr>
                <w:rFonts w:eastAsia="Times New Roman"/>
                <w:sz w:val="16"/>
                <w:szCs w:val="16"/>
                <w:lang w:val="en-US"/>
              </w:rPr>
              <w:t>90,24 €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406340" w:rsidP="00CA3429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F4758">
              <w:rPr>
                <w:sz w:val="16"/>
                <w:szCs w:val="16"/>
              </w:rPr>
              <w:t>OPG VEDRAN KLARIĆ, OIB: 14910077697, M.P. Miškine 55, Donja Dubrava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14B" w:rsidRDefault="00A5314B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EC575A" w:rsidRPr="00CA3429" w:rsidRDefault="00406340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  <w:r w:rsidR="00A5314B"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</w:tr>
      <w:tr w:rsidR="00EC575A" w:rsidRPr="00CA3429" w:rsidTr="00CA3429">
        <w:trPr>
          <w:trHeight w:val="22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575A" w:rsidRPr="00EC575A" w:rsidRDefault="00CA3429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3.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5A" w:rsidRPr="00EC575A" w:rsidRDefault="00A5314B" w:rsidP="00A5314B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KOTORIBA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75A" w:rsidRPr="004719E7" w:rsidRDefault="00A5314B" w:rsidP="00EC575A">
            <w:pPr>
              <w:spacing w:after="20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719E7"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5A" w:rsidRPr="00EC575A" w:rsidRDefault="00A5314B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5162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ORANICA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5A" w:rsidRPr="00EC575A" w:rsidRDefault="00EC575A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EC575A">
              <w:rPr>
                <w:rFonts w:eastAsia="Times New Roman"/>
                <w:sz w:val="16"/>
                <w:szCs w:val="16"/>
                <w:lang w:val="en-US"/>
              </w:rPr>
              <w:t>ORANICA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5A" w:rsidRPr="00EC575A" w:rsidRDefault="004719E7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0,0968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4719E7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5,42 €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75A" w:rsidRPr="00EC575A" w:rsidRDefault="004719E7" w:rsidP="00D37736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5A" w:rsidRPr="00EC575A" w:rsidRDefault="004719E7" w:rsidP="00EC575A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10,84 €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75A" w:rsidRPr="00EC575A" w:rsidRDefault="004719E7" w:rsidP="00CA3429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F4758">
              <w:rPr>
                <w:sz w:val="16"/>
                <w:szCs w:val="16"/>
              </w:rPr>
              <w:t>OPG VEDRAN KLARIĆ, OIB: 14910077697, M.P. Miškine 55, Donja Dubrava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75A" w:rsidRDefault="00EC575A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4719E7" w:rsidRPr="00CA3429" w:rsidRDefault="004719E7" w:rsidP="00EB75E0">
            <w:pPr>
              <w:spacing w:after="20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23</w:t>
            </w:r>
          </w:p>
        </w:tc>
      </w:tr>
    </w:tbl>
    <w:p w:rsidR="0030466A" w:rsidRPr="00CA3429" w:rsidRDefault="0030466A">
      <w:r w:rsidRPr="00CA3429">
        <w:br w:type="page"/>
      </w:r>
    </w:p>
    <w:p w:rsidR="00187B0C" w:rsidRPr="00CA3429" w:rsidRDefault="00187B0C" w:rsidP="00187B0C">
      <w:pPr>
        <w:rPr>
          <w:szCs w:val="24"/>
        </w:rPr>
        <w:sectPr w:rsidR="00187B0C" w:rsidRPr="00CA3429" w:rsidSect="00E31506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:rsidR="001C6A81" w:rsidRDefault="00187B0C" w:rsidP="00346AE2">
      <w:pPr>
        <w:jc w:val="center"/>
        <w:rPr>
          <w:b/>
          <w:bCs/>
        </w:rPr>
      </w:pPr>
      <w:r w:rsidRPr="00CA3429">
        <w:rPr>
          <w:b/>
          <w:bCs/>
        </w:rPr>
        <w:lastRenderedPageBreak/>
        <w:t>Članak 3.</w:t>
      </w:r>
    </w:p>
    <w:p w:rsidR="001B160D" w:rsidRDefault="001B160D" w:rsidP="00346AE2">
      <w:pPr>
        <w:jc w:val="center"/>
        <w:rPr>
          <w:b/>
          <w:bCs/>
        </w:rPr>
      </w:pPr>
    </w:p>
    <w:p w:rsidR="001B160D" w:rsidRDefault="00515761" w:rsidP="001638F2">
      <w:pPr>
        <w:spacing w:line="240" w:lineRule="auto"/>
        <w:ind w:firstLine="708"/>
        <w:rPr>
          <w:rFonts w:eastAsia="Times New Roman"/>
          <w:color w:val="000000"/>
          <w:szCs w:val="24"/>
          <w:lang w:eastAsia="hr-HR"/>
        </w:rPr>
      </w:pPr>
      <w:r>
        <w:rPr>
          <w:szCs w:val="24"/>
        </w:rPr>
        <w:t>P</w:t>
      </w:r>
      <w:r w:rsidR="001B160D">
        <w:rPr>
          <w:szCs w:val="24"/>
        </w:rPr>
        <w:t>oništava se točka 1. Priloga</w:t>
      </w:r>
      <w:r w:rsidR="001638F2">
        <w:rPr>
          <w:szCs w:val="24"/>
        </w:rPr>
        <w:t xml:space="preserve"> broj 1. </w:t>
      </w:r>
      <w:r w:rsidR="001B160D">
        <w:rPr>
          <w:szCs w:val="24"/>
        </w:rPr>
        <w:t xml:space="preserve"> </w:t>
      </w:r>
      <w:r w:rsidR="00F36EBF">
        <w:rPr>
          <w:szCs w:val="24"/>
        </w:rPr>
        <w:t xml:space="preserve">Javnog </w:t>
      </w:r>
      <w:r w:rsidR="001B160D">
        <w:rPr>
          <w:szCs w:val="24"/>
        </w:rPr>
        <w:t xml:space="preserve">natječaja za </w:t>
      </w:r>
      <w:r w:rsidR="00F36EBF">
        <w:rPr>
          <w:szCs w:val="24"/>
        </w:rPr>
        <w:t xml:space="preserve">zakup </w:t>
      </w:r>
      <w:r>
        <w:rPr>
          <w:szCs w:val="24"/>
        </w:rPr>
        <w:t xml:space="preserve">iz članka 1. </w:t>
      </w:r>
      <w:r w:rsidR="001638F2">
        <w:rPr>
          <w:szCs w:val="24"/>
        </w:rPr>
        <w:t>s</w:t>
      </w:r>
      <w:r>
        <w:rPr>
          <w:szCs w:val="24"/>
        </w:rPr>
        <w:t>tavka 3. Javnog natječaja za zakup,</w:t>
      </w:r>
      <w:r w:rsidR="001638F2">
        <w:rPr>
          <w:szCs w:val="24"/>
        </w:rPr>
        <w:t xml:space="preserve"> </w:t>
      </w:r>
      <w:r>
        <w:rPr>
          <w:szCs w:val="24"/>
        </w:rPr>
        <w:t xml:space="preserve">a </w:t>
      </w:r>
      <w:r w:rsidR="009A0155">
        <w:rPr>
          <w:szCs w:val="24"/>
        </w:rPr>
        <w:t xml:space="preserve">koja se </w:t>
      </w:r>
      <w:r w:rsidR="00713E80">
        <w:rPr>
          <w:szCs w:val="24"/>
        </w:rPr>
        <w:t>odnos</w:t>
      </w:r>
      <w:r w:rsidR="009A0155">
        <w:rPr>
          <w:szCs w:val="24"/>
        </w:rPr>
        <w:t xml:space="preserve">i </w:t>
      </w:r>
      <w:r w:rsidR="00713E80">
        <w:rPr>
          <w:szCs w:val="24"/>
        </w:rPr>
        <w:t>na</w:t>
      </w:r>
      <w:r w:rsidR="00F36EBF">
        <w:rPr>
          <w:szCs w:val="24"/>
        </w:rPr>
        <w:t xml:space="preserve"> </w:t>
      </w:r>
      <w:r w:rsidR="00713E80">
        <w:rPr>
          <w:szCs w:val="24"/>
        </w:rPr>
        <w:t xml:space="preserve">predmetno poljoprivredno zemljište </w:t>
      </w:r>
      <w:r w:rsidR="001B160D">
        <w:rPr>
          <w:szCs w:val="24"/>
        </w:rPr>
        <w:t xml:space="preserve">k.č.br. 1809 </w:t>
      </w:r>
      <w:r w:rsidR="00994ED8">
        <w:rPr>
          <w:szCs w:val="24"/>
        </w:rPr>
        <w:t xml:space="preserve">k.o. Kotoriba oranica od 4,5340 ha </w:t>
      </w:r>
      <w:r w:rsidR="001B160D">
        <w:rPr>
          <w:szCs w:val="24"/>
        </w:rPr>
        <w:t xml:space="preserve">iz razloga jer je utvrđeno da za </w:t>
      </w:r>
      <w:r w:rsidR="009A0155">
        <w:rPr>
          <w:szCs w:val="24"/>
        </w:rPr>
        <w:t xml:space="preserve">k.č.br. </w:t>
      </w:r>
      <w:r w:rsidR="00C366F1">
        <w:rPr>
          <w:szCs w:val="24"/>
        </w:rPr>
        <w:t>1809 k.o. Kotoriba</w:t>
      </w:r>
      <w:r w:rsidR="001B160D">
        <w:rPr>
          <w:szCs w:val="24"/>
        </w:rPr>
        <w:t xml:space="preserve"> nema ponuditelja koji bi ispunjavao propisane uvjete kao najpovoljniji ponuditelj na temelju </w:t>
      </w:r>
      <w:r w:rsidR="001B160D">
        <w:rPr>
          <w:rFonts w:eastAsia="Times New Roman"/>
          <w:color w:val="000000"/>
          <w:szCs w:val="24"/>
          <w:lang w:eastAsia="hr-HR"/>
        </w:rPr>
        <w:t>Zakona</w:t>
      </w:r>
      <w:r w:rsidR="001B160D" w:rsidRPr="00252F14">
        <w:rPr>
          <w:rFonts w:eastAsia="Times New Roman"/>
          <w:color w:val="000000"/>
          <w:szCs w:val="24"/>
          <w:lang w:eastAsia="hr-HR"/>
        </w:rPr>
        <w:t xml:space="preserve"> o poljoprivred</w:t>
      </w:r>
      <w:r w:rsidR="00DC1254">
        <w:rPr>
          <w:rFonts w:eastAsia="Times New Roman"/>
          <w:color w:val="000000"/>
          <w:szCs w:val="24"/>
          <w:lang w:eastAsia="hr-HR"/>
        </w:rPr>
        <w:t xml:space="preserve">nom zemljištu („Narodne novine“  </w:t>
      </w:r>
      <w:r w:rsidR="001B160D" w:rsidRPr="00252F14">
        <w:rPr>
          <w:rFonts w:eastAsia="Times New Roman"/>
          <w:color w:val="000000"/>
          <w:szCs w:val="24"/>
          <w:lang w:eastAsia="hr-HR"/>
        </w:rPr>
        <w:t>broj 20/18, 115/18, 98/19 i 57/22)</w:t>
      </w:r>
      <w:r w:rsidR="001B160D">
        <w:rPr>
          <w:rFonts w:eastAsia="Times New Roman"/>
          <w:color w:val="000000"/>
          <w:szCs w:val="24"/>
          <w:lang w:eastAsia="hr-HR"/>
        </w:rPr>
        <w:t xml:space="preserve">, </w:t>
      </w:r>
      <w:r w:rsidR="001B160D" w:rsidRPr="00CA66F2">
        <w:rPr>
          <w:color w:val="231F20"/>
          <w:szCs w:val="24"/>
          <w:shd w:val="clear" w:color="auto" w:fill="FFFFFF"/>
        </w:rPr>
        <w:t>Pravilnika o provođenju javnog natječaja za zakup poljoprivrednog zemljišta i zakup za ribnjake u vlasništvu Republike Hrvatske („Narodne novine“ broj: 20/18, 115/18, 98/19</w:t>
      </w:r>
      <w:r w:rsidR="001B160D">
        <w:rPr>
          <w:color w:val="231F20"/>
          <w:szCs w:val="24"/>
          <w:shd w:val="clear" w:color="auto" w:fill="FFFFFF"/>
        </w:rPr>
        <w:t>, 57/22 i 133/22)</w:t>
      </w:r>
      <w:r w:rsidR="001B160D" w:rsidRPr="00CA66F2">
        <w:rPr>
          <w:color w:val="231F20"/>
          <w:szCs w:val="24"/>
          <w:shd w:val="clear" w:color="auto" w:fill="FFFFFF"/>
        </w:rPr>
        <w:t xml:space="preserve"> </w:t>
      </w:r>
      <w:r w:rsidR="001B160D" w:rsidRPr="00252F14">
        <w:rPr>
          <w:rFonts w:eastAsia="Times New Roman"/>
          <w:color w:val="000000"/>
          <w:szCs w:val="24"/>
          <w:lang w:eastAsia="hr-HR"/>
        </w:rPr>
        <w:t xml:space="preserve"> </w:t>
      </w:r>
      <w:r w:rsidR="001B160D">
        <w:rPr>
          <w:rFonts w:eastAsia="Times New Roman"/>
          <w:color w:val="000000"/>
          <w:szCs w:val="24"/>
          <w:lang w:eastAsia="hr-HR"/>
        </w:rPr>
        <w:t>i Pravilnika</w:t>
      </w:r>
      <w:r w:rsidR="001B160D" w:rsidRPr="00252F14">
        <w:rPr>
          <w:rFonts w:eastAsia="Times New Roman"/>
          <w:color w:val="000000"/>
          <w:szCs w:val="24"/>
          <w:lang w:eastAsia="hr-HR"/>
        </w:rPr>
        <w:t xml:space="preserve"> o Gospodarskom programu korištenja poljoprivrednog zemljišta u vlasništvu Repub</w:t>
      </w:r>
      <w:r w:rsidR="00DC1254">
        <w:rPr>
          <w:rFonts w:eastAsia="Times New Roman"/>
          <w:color w:val="000000"/>
          <w:szCs w:val="24"/>
          <w:lang w:eastAsia="hr-HR"/>
        </w:rPr>
        <w:t xml:space="preserve">like Hrvatske („Narodne novine“ </w:t>
      </w:r>
      <w:r w:rsidR="001B160D" w:rsidRPr="00252F14">
        <w:rPr>
          <w:rFonts w:eastAsia="Times New Roman"/>
          <w:color w:val="000000"/>
          <w:szCs w:val="24"/>
          <w:lang w:eastAsia="hr-HR"/>
        </w:rPr>
        <w:t xml:space="preserve"> broj 104/22 i 52/23)</w:t>
      </w:r>
      <w:r w:rsidR="006158AF">
        <w:rPr>
          <w:rFonts w:eastAsia="Times New Roman"/>
          <w:color w:val="000000"/>
          <w:szCs w:val="24"/>
          <w:lang w:eastAsia="hr-HR"/>
        </w:rPr>
        <w:t>.</w:t>
      </w:r>
    </w:p>
    <w:p w:rsidR="001B160D" w:rsidRPr="00CA3429" w:rsidRDefault="001B160D" w:rsidP="001B160D">
      <w:pPr>
        <w:spacing w:line="240" w:lineRule="auto"/>
        <w:ind w:firstLine="708"/>
        <w:rPr>
          <w:szCs w:val="24"/>
        </w:rPr>
      </w:pPr>
    </w:p>
    <w:p w:rsidR="001B160D" w:rsidRPr="00CA3429" w:rsidRDefault="001B160D" w:rsidP="00346AE2">
      <w:pPr>
        <w:jc w:val="center"/>
        <w:rPr>
          <w:b/>
          <w:bCs/>
        </w:rPr>
      </w:pPr>
      <w:r>
        <w:rPr>
          <w:b/>
          <w:bCs/>
        </w:rPr>
        <w:t xml:space="preserve">Članak 4. </w:t>
      </w:r>
    </w:p>
    <w:p w:rsidR="00346AE2" w:rsidRPr="00CA3429" w:rsidRDefault="00346AE2" w:rsidP="00E200F1">
      <w:pPr>
        <w:spacing w:line="360" w:lineRule="auto"/>
        <w:jc w:val="center"/>
        <w:rPr>
          <w:b/>
          <w:bCs/>
        </w:rPr>
      </w:pPr>
    </w:p>
    <w:p w:rsidR="001C6A81" w:rsidRPr="00CA3429" w:rsidRDefault="001C6A81" w:rsidP="00E200F1">
      <w:pPr>
        <w:spacing w:line="240" w:lineRule="auto"/>
        <w:ind w:firstLine="708"/>
        <w:rPr>
          <w:szCs w:val="24"/>
        </w:rPr>
      </w:pPr>
      <w:r w:rsidRPr="00CA3429">
        <w:rPr>
          <w:szCs w:val="24"/>
        </w:rPr>
        <w:t xml:space="preserve">O donesenoj </w:t>
      </w:r>
      <w:r w:rsidR="00346AE2" w:rsidRPr="00CA3429">
        <w:rPr>
          <w:szCs w:val="24"/>
        </w:rPr>
        <w:t>O</w:t>
      </w:r>
      <w:r w:rsidRPr="00CA3429">
        <w:rPr>
          <w:szCs w:val="24"/>
        </w:rPr>
        <w:t xml:space="preserve">dluci </w:t>
      </w:r>
      <w:bookmarkStart w:id="2" w:name="_Hlk134017389"/>
      <w:r w:rsidR="00346AE2" w:rsidRPr="00CA3429">
        <w:rPr>
          <w:szCs w:val="24"/>
        </w:rPr>
        <w:t xml:space="preserve">o izboru najpovoljnije ponude za zakup poljoprivrednog zemljišta u vlasništvu Republike Hrvatske na području Općine </w:t>
      </w:r>
      <w:r w:rsidR="00956003">
        <w:rPr>
          <w:szCs w:val="24"/>
        </w:rPr>
        <w:t>Kotoriba</w:t>
      </w:r>
      <w:r w:rsidR="00346AE2" w:rsidRPr="00CA3429">
        <w:rPr>
          <w:szCs w:val="24"/>
        </w:rPr>
        <w:t xml:space="preserve"> </w:t>
      </w:r>
      <w:bookmarkEnd w:id="2"/>
      <w:r w:rsidRPr="00CA3429">
        <w:rPr>
          <w:szCs w:val="24"/>
        </w:rPr>
        <w:t>obav</w:t>
      </w:r>
      <w:r w:rsidR="00346AE2" w:rsidRPr="00CA3429">
        <w:rPr>
          <w:szCs w:val="24"/>
        </w:rPr>
        <w:t>i</w:t>
      </w:r>
      <w:r w:rsidRPr="00CA3429">
        <w:rPr>
          <w:szCs w:val="24"/>
        </w:rPr>
        <w:t>je</w:t>
      </w:r>
      <w:r w:rsidR="00346AE2" w:rsidRPr="00CA3429">
        <w:rPr>
          <w:szCs w:val="24"/>
        </w:rPr>
        <w:t>stit će</w:t>
      </w:r>
      <w:r w:rsidRPr="00CA3429">
        <w:rPr>
          <w:szCs w:val="24"/>
        </w:rPr>
        <w:t xml:space="preserve"> se svi sudionici natječaja javnom objavom na oglasnoj ploči i mrežnoj stranici Općine </w:t>
      </w:r>
      <w:r w:rsidR="00956003">
        <w:rPr>
          <w:szCs w:val="24"/>
        </w:rPr>
        <w:t>Kotoriba</w:t>
      </w:r>
      <w:r w:rsidRPr="00CA3429">
        <w:rPr>
          <w:szCs w:val="24"/>
        </w:rPr>
        <w:t>.</w:t>
      </w:r>
    </w:p>
    <w:p w:rsidR="00346AE2" w:rsidRPr="00CA3429" w:rsidRDefault="00346AE2" w:rsidP="00E200F1">
      <w:pPr>
        <w:spacing w:line="240" w:lineRule="auto"/>
        <w:rPr>
          <w:szCs w:val="24"/>
        </w:rPr>
      </w:pPr>
    </w:p>
    <w:p w:rsidR="001C6A81" w:rsidRPr="00CA3429" w:rsidRDefault="001C6A81" w:rsidP="00E200F1">
      <w:pPr>
        <w:spacing w:line="240" w:lineRule="auto"/>
        <w:ind w:firstLine="709"/>
        <w:rPr>
          <w:szCs w:val="24"/>
        </w:rPr>
      </w:pPr>
      <w:r w:rsidRPr="00CA3429">
        <w:rPr>
          <w:szCs w:val="24"/>
        </w:rPr>
        <w:t xml:space="preserve">Protiv Odluke o izboru najpovoljnije ponude iz </w:t>
      </w:r>
      <w:r w:rsidR="00346AE2" w:rsidRPr="00CA3429">
        <w:rPr>
          <w:szCs w:val="24"/>
        </w:rPr>
        <w:t>stavka 1. ovog članka</w:t>
      </w:r>
      <w:r w:rsidRPr="00CA3429">
        <w:rPr>
          <w:szCs w:val="24"/>
        </w:rPr>
        <w:t xml:space="preserve"> nije dopuštena žalba</w:t>
      </w:r>
      <w:r w:rsidR="00B060F6" w:rsidRPr="00CA3429">
        <w:rPr>
          <w:szCs w:val="24"/>
        </w:rPr>
        <w:t xml:space="preserve"> </w:t>
      </w:r>
      <w:r w:rsidRPr="00CA3429">
        <w:rPr>
          <w:szCs w:val="24"/>
        </w:rPr>
        <w:t>niti se može pokrenuti upravni spor. Sudionici javnog natječaja koji smatraju da su povrijeđena pravila javnog natječaja ili iz drugih zakonom predviđenih razloga</w:t>
      </w:r>
      <w:r w:rsidR="00B060F6" w:rsidRPr="00CA3429">
        <w:rPr>
          <w:szCs w:val="24"/>
        </w:rPr>
        <w:t>,</w:t>
      </w:r>
      <w:r w:rsidRPr="00CA3429">
        <w:rPr>
          <w:szCs w:val="24"/>
        </w:rPr>
        <w:t xml:space="preserve"> mogu pred sudom pobijati ugovor o zakupu sklopljen s trećom osobom.</w:t>
      </w:r>
    </w:p>
    <w:p w:rsidR="00346AE2" w:rsidRPr="00CA3429" w:rsidRDefault="00346AE2" w:rsidP="001C6A81">
      <w:pPr>
        <w:rPr>
          <w:szCs w:val="24"/>
        </w:rPr>
      </w:pPr>
    </w:p>
    <w:p w:rsidR="005E1A95" w:rsidRPr="00CA3429" w:rsidRDefault="005E1A95" w:rsidP="00346AE2">
      <w:pPr>
        <w:spacing w:line="240" w:lineRule="auto"/>
        <w:jc w:val="center"/>
        <w:rPr>
          <w:b/>
          <w:bCs/>
        </w:rPr>
      </w:pPr>
      <w:r w:rsidRPr="00CA3429">
        <w:rPr>
          <w:b/>
          <w:bCs/>
        </w:rPr>
        <w:t>Članak</w:t>
      </w:r>
      <w:r w:rsidR="00F3538C" w:rsidRPr="00CA3429">
        <w:rPr>
          <w:b/>
          <w:bCs/>
        </w:rPr>
        <w:t xml:space="preserve"> </w:t>
      </w:r>
      <w:r w:rsidR="001B160D">
        <w:rPr>
          <w:b/>
          <w:bCs/>
        </w:rPr>
        <w:t>5</w:t>
      </w:r>
      <w:r w:rsidR="00346AE2" w:rsidRPr="00CA3429">
        <w:rPr>
          <w:b/>
          <w:bCs/>
        </w:rPr>
        <w:t>.</w:t>
      </w:r>
    </w:p>
    <w:p w:rsidR="00EE6A82" w:rsidRPr="00CA3429" w:rsidRDefault="00EE6A82" w:rsidP="00E200F1">
      <w:pPr>
        <w:spacing w:line="240" w:lineRule="auto"/>
        <w:jc w:val="center"/>
      </w:pPr>
    </w:p>
    <w:p w:rsidR="00D764BE" w:rsidRPr="00CA3429" w:rsidRDefault="00116E1D" w:rsidP="00E200F1">
      <w:pPr>
        <w:spacing w:line="240" w:lineRule="auto"/>
      </w:pPr>
      <w:r w:rsidRPr="00CA3429">
        <w:tab/>
      </w:r>
      <w:r w:rsidR="00EE6A82" w:rsidRPr="00CA3429">
        <w:t xml:space="preserve">Odluka </w:t>
      </w:r>
      <w:r w:rsidR="00346AE2" w:rsidRPr="00CA3429">
        <w:t xml:space="preserve">o izboru najpovoljnije ponude za zakup poljoprivrednog zemljišta u vlasništvu Republike Hrvatske na području Općine </w:t>
      </w:r>
      <w:r w:rsidR="004E5D6A">
        <w:t>Kotoriba</w:t>
      </w:r>
      <w:r w:rsidR="00E55F86">
        <w:t xml:space="preserve"> stupa na snagu osmog dana od dana objave u </w:t>
      </w:r>
      <w:r w:rsidR="00346AE2" w:rsidRPr="00CA3429">
        <w:t xml:space="preserve"> „Službenom </w:t>
      </w:r>
      <w:r w:rsidR="005D7D1B">
        <w:t>glasniku Međimurske županije</w:t>
      </w:r>
      <w:r w:rsidR="00A14571">
        <w:t xml:space="preserve">“. </w:t>
      </w:r>
    </w:p>
    <w:p w:rsidR="00D764BE" w:rsidRPr="00CA3429" w:rsidRDefault="00D764BE" w:rsidP="00E200F1">
      <w:pPr>
        <w:spacing w:line="240" w:lineRule="auto"/>
      </w:pPr>
    </w:p>
    <w:p w:rsidR="00346AE2" w:rsidRPr="00CA3429" w:rsidRDefault="00346AE2" w:rsidP="00E200F1">
      <w:pPr>
        <w:spacing w:line="240" w:lineRule="auto"/>
      </w:pPr>
    </w:p>
    <w:p w:rsidR="00D764BE" w:rsidRPr="00CA3429" w:rsidRDefault="00D764BE" w:rsidP="00E200F1">
      <w:pPr>
        <w:spacing w:line="240" w:lineRule="auto"/>
        <w:rPr>
          <w:b/>
          <w:bCs/>
        </w:rPr>
      </w:pPr>
    </w:p>
    <w:p w:rsidR="0030466A" w:rsidRPr="00CA3429" w:rsidRDefault="0030466A" w:rsidP="00926347"/>
    <w:p w:rsidR="00F34AF0" w:rsidRDefault="00F34AF0" w:rsidP="00F34AF0">
      <w:pPr>
        <w:tabs>
          <w:tab w:val="left" w:pos="5220"/>
        </w:tabs>
        <w:jc w:val="right"/>
        <w:rPr>
          <w:b/>
          <w:bCs/>
        </w:rPr>
      </w:pPr>
      <w:r w:rsidRPr="00CA3429">
        <w:rPr>
          <w:b/>
          <w:bCs/>
        </w:rPr>
        <w:t>PREDSJEDNIK OPĆINSKOG VIJEĆA</w:t>
      </w:r>
    </w:p>
    <w:p w:rsidR="00F956EF" w:rsidRDefault="00F956EF" w:rsidP="00F956EF">
      <w:pPr>
        <w:tabs>
          <w:tab w:val="left" w:pos="5220"/>
        </w:tabs>
        <w:jc w:val="center"/>
        <w:rPr>
          <w:b/>
          <w:bCs/>
        </w:rPr>
      </w:pPr>
      <w:r>
        <w:rPr>
          <w:b/>
          <w:bCs/>
        </w:rPr>
        <w:tab/>
        <w:t>HINKO VIRGEJ</w:t>
      </w:r>
    </w:p>
    <w:p w:rsidR="00952EEC" w:rsidRDefault="00952EEC" w:rsidP="00952EEC">
      <w:pPr>
        <w:rPr>
          <w:b/>
          <w:bCs/>
        </w:rPr>
      </w:pPr>
    </w:p>
    <w:p w:rsidR="00952EEC" w:rsidRPr="00952EEC" w:rsidRDefault="00952EEC" w:rsidP="00952EEC">
      <w:pPr>
        <w:tabs>
          <w:tab w:val="left" w:pos="5689"/>
        </w:tabs>
      </w:pPr>
      <w:r>
        <w:tab/>
      </w:r>
      <w:r w:rsidRPr="00F97518">
        <w:t>____________________</w:t>
      </w:r>
    </w:p>
    <w:sectPr w:rsidR="00952EEC" w:rsidRPr="00952EEC" w:rsidSect="00187B0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3C" w:rsidRDefault="0034763C" w:rsidP="00FB7D25">
      <w:pPr>
        <w:spacing w:line="240" w:lineRule="auto"/>
      </w:pPr>
      <w:r>
        <w:separator/>
      </w:r>
    </w:p>
  </w:endnote>
  <w:endnote w:type="continuationSeparator" w:id="0">
    <w:p w:rsidR="0034763C" w:rsidRDefault="0034763C" w:rsidP="00FB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905720"/>
      <w:docPartObj>
        <w:docPartGallery w:val="Page Numbers (Bottom of Page)"/>
        <w:docPartUnique/>
      </w:docPartObj>
    </w:sdtPr>
    <w:sdtEndPr/>
    <w:sdtContent>
      <w:p w:rsidR="00FE6C41" w:rsidRDefault="00086262">
        <w:pPr>
          <w:pStyle w:val="Podnoje"/>
          <w:jc w:val="right"/>
        </w:pPr>
        <w:r>
          <w:fldChar w:fldCharType="begin"/>
        </w:r>
        <w:r w:rsidR="00FE6C41">
          <w:instrText>PAGE   \* MERGEFORMAT</w:instrText>
        </w:r>
        <w:r>
          <w:fldChar w:fldCharType="separate"/>
        </w:r>
        <w:r w:rsidR="00B6188F">
          <w:rPr>
            <w:noProof/>
          </w:rPr>
          <w:t>3</w:t>
        </w:r>
        <w:r>
          <w:fldChar w:fldCharType="end"/>
        </w:r>
      </w:p>
    </w:sdtContent>
  </w:sdt>
  <w:p w:rsidR="00FE6C41" w:rsidRDefault="00FE6C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3C" w:rsidRDefault="0034763C" w:rsidP="00FB7D25">
      <w:pPr>
        <w:spacing w:line="240" w:lineRule="auto"/>
      </w:pPr>
      <w:r>
        <w:separator/>
      </w:r>
    </w:p>
  </w:footnote>
  <w:footnote w:type="continuationSeparator" w:id="0">
    <w:p w:rsidR="0034763C" w:rsidRDefault="0034763C" w:rsidP="00FB7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AFE"/>
    <w:multiLevelType w:val="hybridMultilevel"/>
    <w:tmpl w:val="59FC6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669"/>
    <w:rsid w:val="00023216"/>
    <w:rsid w:val="00065DAA"/>
    <w:rsid w:val="00072016"/>
    <w:rsid w:val="00086262"/>
    <w:rsid w:val="000B3C9A"/>
    <w:rsid w:val="000D2361"/>
    <w:rsid w:val="000E0D02"/>
    <w:rsid w:val="000E552D"/>
    <w:rsid w:val="000F35D3"/>
    <w:rsid w:val="00116E1D"/>
    <w:rsid w:val="00132D53"/>
    <w:rsid w:val="001531FC"/>
    <w:rsid w:val="001566B0"/>
    <w:rsid w:val="00160C95"/>
    <w:rsid w:val="001638F2"/>
    <w:rsid w:val="00183B91"/>
    <w:rsid w:val="00187B0C"/>
    <w:rsid w:val="00194861"/>
    <w:rsid w:val="001A0B9D"/>
    <w:rsid w:val="001B123A"/>
    <w:rsid w:val="001B160D"/>
    <w:rsid w:val="001C6A81"/>
    <w:rsid w:val="001F4758"/>
    <w:rsid w:val="002043B0"/>
    <w:rsid w:val="002057A2"/>
    <w:rsid w:val="00246502"/>
    <w:rsid w:val="00260F6C"/>
    <w:rsid w:val="00262701"/>
    <w:rsid w:val="00265C67"/>
    <w:rsid w:val="00282D35"/>
    <w:rsid w:val="002A67CA"/>
    <w:rsid w:val="002B58E2"/>
    <w:rsid w:val="002C15A7"/>
    <w:rsid w:val="0030466A"/>
    <w:rsid w:val="0031403C"/>
    <w:rsid w:val="00330619"/>
    <w:rsid w:val="0033229F"/>
    <w:rsid w:val="00335BDE"/>
    <w:rsid w:val="00335E74"/>
    <w:rsid w:val="00346AE2"/>
    <w:rsid w:val="0034763C"/>
    <w:rsid w:val="003603E6"/>
    <w:rsid w:val="00366498"/>
    <w:rsid w:val="00374E00"/>
    <w:rsid w:val="003768A7"/>
    <w:rsid w:val="00380A1C"/>
    <w:rsid w:val="003B23D5"/>
    <w:rsid w:val="003B5F73"/>
    <w:rsid w:val="003E118C"/>
    <w:rsid w:val="003E27B2"/>
    <w:rsid w:val="003E6882"/>
    <w:rsid w:val="003F32C6"/>
    <w:rsid w:val="003F531F"/>
    <w:rsid w:val="003F7200"/>
    <w:rsid w:val="00406340"/>
    <w:rsid w:val="00425C98"/>
    <w:rsid w:val="00447AFC"/>
    <w:rsid w:val="00447B6E"/>
    <w:rsid w:val="00456662"/>
    <w:rsid w:val="004719E7"/>
    <w:rsid w:val="004E5D6A"/>
    <w:rsid w:val="00515761"/>
    <w:rsid w:val="00523908"/>
    <w:rsid w:val="00541252"/>
    <w:rsid w:val="00544156"/>
    <w:rsid w:val="0054513C"/>
    <w:rsid w:val="005451A2"/>
    <w:rsid w:val="00545B06"/>
    <w:rsid w:val="00572669"/>
    <w:rsid w:val="00576ED9"/>
    <w:rsid w:val="005848AC"/>
    <w:rsid w:val="005A0316"/>
    <w:rsid w:val="005B0D3A"/>
    <w:rsid w:val="005C549E"/>
    <w:rsid w:val="005D3C32"/>
    <w:rsid w:val="005D3D04"/>
    <w:rsid w:val="005D53A1"/>
    <w:rsid w:val="005D7D1B"/>
    <w:rsid w:val="005E1A95"/>
    <w:rsid w:val="005E31B2"/>
    <w:rsid w:val="006043B7"/>
    <w:rsid w:val="00611473"/>
    <w:rsid w:val="006158AF"/>
    <w:rsid w:val="006279A2"/>
    <w:rsid w:val="0064766B"/>
    <w:rsid w:val="00695C7E"/>
    <w:rsid w:val="006A65E3"/>
    <w:rsid w:val="006B5425"/>
    <w:rsid w:val="006D084A"/>
    <w:rsid w:val="006E135D"/>
    <w:rsid w:val="006E311B"/>
    <w:rsid w:val="006E7344"/>
    <w:rsid w:val="00713E80"/>
    <w:rsid w:val="007308DE"/>
    <w:rsid w:val="00740E25"/>
    <w:rsid w:val="00742B00"/>
    <w:rsid w:val="00752BCA"/>
    <w:rsid w:val="00766AE1"/>
    <w:rsid w:val="00791F08"/>
    <w:rsid w:val="007A05A8"/>
    <w:rsid w:val="007A1997"/>
    <w:rsid w:val="007D1BFE"/>
    <w:rsid w:val="007E478B"/>
    <w:rsid w:val="007F4221"/>
    <w:rsid w:val="007F4A4D"/>
    <w:rsid w:val="00804959"/>
    <w:rsid w:val="00807261"/>
    <w:rsid w:val="008553DD"/>
    <w:rsid w:val="00864580"/>
    <w:rsid w:val="00866B42"/>
    <w:rsid w:val="00873EB1"/>
    <w:rsid w:val="00885781"/>
    <w:rsid w:val="008858F3"/>
    <w:rsid w:val="00886440"/>
    <w:rsid w:val="008A0BF4"/>
    <w:rsid w:val="008A282F"/>
    <w:rsid w:val="008B5CF8"/>
    <w:rsid w:val="008B5EA8"/>
    <w:rsid w:val="008C26D8"/>
    <w:rsid w:val="008D7A8C"/>
    <w:rsid w:val="008E1A5B"/>
    <w:rsid w:val="008E5DC3"/>
    <w:rsid w:val="009059D2"/>
    <w:rsid w:val="00910599"/>
    <w:rsid w:val="00926347"/>
    <w:rsid w:val="00936CD7"/>
    <w:rsid w:val="00952EEC"/>
    <w:rsid w:val="00956003"/>
    <w:rsid w:val="00972DC6"/>
    <w:rsid w:val="00977118"/>
    <w:rsid w:val="00994ED8"/>
    <w:rsid w:val="009A0155"/>
    <w:rsid w:val="009A2062"/>
    <w:rsid w:val="009A7CA1"/>
    <w:rsid w:val="009C7D86"/>
    <w:rsid w:val="009E41D6"/>
    <w:rsid w:val="009F3A40"/>
    <w:rsid w:val="009F4234"/>
    <w:rsid w:val="009F493B"/>
    <w:rsid w:val="00A105EA"/>
    <w:rsid w:val="00A14571"/>
    <w:rsid w:val="00A472D0"/>
    <w:rsid w:val="00A5314B"/>
    <w:rsid w:val="00A7765E"/>
    <w:rsid w:val="00A83A5D"/>
    <w:rsid w:val="00AA37A8"/>
    <w:rsid w:val="00AC0CE7"/>
    <w:rsid w:val="00AD4C27"/>
    <w:rsid w:val="00AE5A9C"/>
    <w:rsid w:val="00B01ED2"/>
    <w:rsid w:val="00B060F6"/>
    <w:rsid w:val="00B52755"/>
    <w:rsid w:val="00B6188F"/>
    <w:rsid w:val="00B73D9E"/>
    <w:rsid w:val="00B84A17"/>
    <w:rsid w:val="00B872B5"/>
    <w:rsid w:val="00BB7E2C"/>
    <w:rsid w:val="00BC21FE"/>
    <w:rsid w:val="00BD2FA1"/>
    <w:rsid w:val="00BE0C11"/>
    <w:rsid w:val="00BE42CE"/>
    <w:rsid w:val="00BE5877"/>
    <w:rsid w:val="00BE7747"/>
    <w:rsid w:val="00BE7AD2"/>
    <w:rsid w:val="00BF5E82"/>
    <w:rsid w:val="00C00784"/>
    <w:rsid w:val="00C366F1"/>
    <w:rsid w:val="00C400BC"/>
    <w:rsid w:val="00C5098E"/>
    <w:rsid w:val="00C57AC2"/>
    <w:rsid w:val="00C73441"/>
    <w:rsid w:val="00CA3429"/>
    <w:rsid w:val="00CA534A"/>
    <w:rsid w:val="00CA7D4B"/>
    <w:rsid w:val="00CB7A6F"/>
    <w:rsid w:val="00CC09E7"/>
    <w:rsid w:val="00CF0C12"/>
    <w:rsid w:val="00CF2D60"/>
    <w:rsid w:val="00CF5B46"/>
    <w:rsid w:val="00D17908"/>
    <w:rsid w:val="00D36CB5"/>
    <w:rsid w:val="00D36F1C"/>
    <w:rsid w:val="00D374FF"/>
    <w:rsid w:val="00D37736"/>
    <w:rsid w:val="00D40CDD"/>
    <w:rsid w:val="00D5394D"/>
    <w:rsid w:val="00D54697"/>
    <w:rsid w:val="00D67676"/>
    <w:rsid w:val="00D72C1A"/>
    <w:rsid w:val="00D764BE"/>
    <w:rsid w:val="00DA075C"/>
    <w:rsid w:val="00DB1FF4"/>
    <w:rsid w:val="00DC1254"/>
    <w:rsid w:val="00DC2C31"/>
    <w:rsid w:val="00DE0880"/>
    <w:rsid w:val="00DE2FA1"/>
    <w:rsid w:val="00DE7B47"/>
    <w:rsid w:val="00E00A05"/>
    <w:rsid w:val="00E048CC"/>
    <w:rsid w:val="00E150E8"/>
    <w:rsid w:val="00E200F1"/>
    <w:rsid w:val="00E26820"/>
    <w:rsid w:val="00E31506"/>
    <w:rsid w:val="00E4586D"/>
    <w:rsid w:val="00E479AC"/>
    <w:rsid w:val="00E5471D"/>
    <w:rsid w:val="00E55F86"/>
    <w:rsid w:val="00E63D08"/>
    <w:rsid w:val="00E77880"/>
    <w:rsid w:val="00EA1B73"/>
    <w:rsid w:val="00EB75E0"/>
    <w:rsid w:val="00EC575A"/>
    <w:rsid w:val="00EE6A82"/>
    <w:rsid w:val="00F168BD"/>
    <w:rsid w:val="00F22E23"/>
    <w:rsid w:val="00F34AF0"/>
    <w:rsid w:val="00F3538C"/>
    <w:rsid w:val="00F36EBF"/>
    <w:rsid w:val="00F531BF"/>
    <w:rsid w:val="00F76BA5"/>
    <w:rsid w:val="00F93742"/>
    <w:rsid w:val="00F956EF"/>
    <w:rsid w:val="00F97518"/>
    <w:rsid w:val="00FB7D25"/>
    <w:rsid w:val="00FC5666"/>
    <w:rsid w:val="00FC765C"/>
    <w:rsid w:val="00FD73F8"/>
    <w:rsid w:val="00FE2A70"/>
    <w:rsid w:val="00FE69FE"/>
    <w:rsid w:val="00FE6C41"/>
    <w:rsid w:val="00FF6085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44B"/>
  <w15:docId w15:val="{C1F0BD19-6971-4EA8-8F65-F3A99A0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C31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5C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072016"/>
    <w:pPr>
      <w:spacing w:line="240" w:lineRule="auto"/>
      <w:ind w:left="720"/>
      <w:contextualSpacing/>
      <w:jc w:val="left"/>
    </w:pPr>
    <w:rPr>
      <w:rFonts w:eastAsia="Times New Roman"/>
      <w:szCs w:val="24"/>
      <w:lang w:eastAsia="hr-HR"/>
    </w:rPr>
  </w:style>
  <w:style w:type="table" w:styleId="Reetkatablice">
    <w:name w:val="Table Grid"/>
    <w:basedOn w:val="Obinatablica"/>
    <w:uiPriority w:val="59"/>
    <w:rsid w:val="00A7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B0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C11"/>
    <w:rPr>
      <w:rFonts w:ascii="Tahoma" w:eastAsia="Calibri" w:hAnsi="Tahoma" w:cs="Tahoma"/>
      <w:sz w:val="16"/>
      <w:szCs w:val="16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30466A"/>
    <w:pPr>
      <w:spacing w:line="240" w:lineRule="auto"/>
    </w:pPr>
    <w:rPr>
      <w:rFonts w:ascii="HRTimes" w:eastAsia="Times New Roman" w:hAnsi="HRTimes"/>
      <w:i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30466A"/>
    <w:rPr>
      <w:rFonts w:ascii="HRTimes" w:eastAsia="Times New Roman" w:hAnsi="HRTimes" w:cs="Times New Roman"/>
      <w:i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FB7D2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7D25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B7D2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7D25"/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A83A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A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3A5D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A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3A5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crostamps.com/old/rh_grb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2328-4D52-4967-AEF8-EAF5AA6E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Korisnik</cp:lastModifiedBy>
  <cp:revision>14</cp:revision>
  <cp:lastPrinted>2024-08-26T06:59:00Z</cp:lastPrinted>
  <dcterms:created xsi:type="dcterms:W3CDTF">2024-07-18T12:46:00Z</dcterms:created>
  <dcterms:modified xsi:type="dcterms:W3CDTF">2024-09-05T10:44:00Z</dcterms:modified>
</cp:coreProperties>
</file>