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F5A0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F5A0B" w:rsidRDefault="00CD1372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F5A0B" w:rsidRDefault="00CD1372">
            <w:pPr>
              <w:spacing w:after="0" w:line="240" w:lineRule="auto"/>
            </w:pPr>
            <w:r>
              <w:t>37880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F5A0B" w:rsidRDefault="00CD137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F5A0B" w:rsidRDefault="00CD1372">
            <w:pPr>
              <w:spacing w:after="0" w:line="240" w:lineRule="auto"/>
            </w:pPr>
            <w:r>
              <w:t>KNJIŽNICA I ČITAONICA KOTORIBA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F5A0B" w:rsidRDefault="00CD137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F5A0B" w:rsidRDefault="00CD1372">
            <w:pPr>
              <w:spacing w:after="0" w:line="240" w:lineRule="auto"/>
            </w:pPr>
            <w:r>
              <w:t>21</w:t>
            </w:r>
          </w:p>
        </w:tc>
      </w:tr>
    </w:tbl>
    <w:p w:rsidR="00EF5A0B" w:rsidRDefault="00CD1372">
      <w:r>
        <w:br/>
      </w:r>
    </w:p>
    <w:p w:rsidR="00EF5A0B" w:rsidRDefault="00CD137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F5A0B" w:rsidRDefault="00CD137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F5A0B" w:rsidRDefault="00CD137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49.091,79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82.281,59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167,6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30.096,15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36.634,48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EF5A0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18.995,64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45.647,11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240,3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21.619,02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46.212,85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213,8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EF5A0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21.619,02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46.212,85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213,8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EF5A0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EF5A0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2.623,38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21,6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 xml:space="preserve">Ukupni prihodi poslovanja od 01.01.2025. do 31.12.2025. godine iznose 82.281,59 eura, dok su rashodi poslovanja u istom razdoblju manji i iznose 36.634,48 eura. Zbog izgradnje stepeništa Knjižnice i čitaonice uplaćena su sredstva iz općinskog proračuna za </w:t>
      </w:r>
      <w:r>
        <w:t>izgradnju, stručni nadzor, nabavu knjiga te su tu i prihodi od Ministarstva kulture za nabavu knjižne i neknjižne građe. Rashodi za nabavu nefinancijske imovine iznose 46.212,85 eura i odnose se na rashode za izradu stepeništa knjižnice i čitaonice, nabavu</w:t>
      </w:r>
      <w:r>
        <w:t xml:space="preserve"> knjižne i neknjižne građe te ulaganje u licence zbog objedinjenja glavne knjige- uvođenja riznice. Najznačajnije povećanje </w:t>
      </w:r>
      <w:r>
        <w:lastRenderedPageBreak/>
        <w:t>rashoda odnosi se na izgradnju stepeništa u Knjižnici i čitaonici, nabavku knjiga i povećanje plaće djelatnika. U razdoblju od 01.01</w:t>
      </w:r>
      <w:r>
        <w:t xml:space="preserve">.2025. do 31.12.2025. godine ostvaren je višak prihoda poslovanja u iznosu od 45.647,11 eura, manjak prihoda od nefinancijske imovine u iznosu od 46.212,85 eura, slijedom čega je na kraju izvještajnog razdoblja ostvaren manjak prihoda i primitaka u iznosu </w:t>
      </w:r>
      <w:r>
        <w:t>od 565,74 eura.</w:t>
      </w:r>
    </w:p>
    <w:p w:rsidR="00EF5A0B" w:rsidRDefault="00CD1372">
      <w:r>
        <w:t>Ispravak financijskog izvještaja jer je prilikom kontrole utvrđena greška u obvezama za zaposlene te obvezama za bankarske usluge. Greške su ispravljene te je poslan financijski izvještaj.</w:t>
      </w:r>
    </w:p>
    <w:p w:rsidR="00EF5A0B" w:rsidRDefault="00CD1372">
      <w:r>
        <w:br/>
      </w:r>
    </w:p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140,9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Povećanje kapitalne pomoći od Ministarstva kulture za knjižnu i neknjižnu građu, nabavka knjiga.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60,9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Ostali nespomenuti prihodi su manji za 60,9% zbog manjeg broja članarina korisnika Knjižnice i čitaonice.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35.082,00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Prihodi iz nadležnog proračuna za financiranje rashoda poslovanja su porasli u odnosu na prošlo izvještajno razdoblje zbog povećanja plaće djelatnika te povećanja cijena energenata i povećanja cijena usluga i materijala.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37.008,54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380,6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Povećanje prihoda iz nadležnog proračun aza financiranje rashoda za nabavu nefinancijske imovine zbog adaptacije Knjižnice i čitaonice, stručnog nadzora, plana izvođenja radova, izrada stepeništa u Knjižnici i čitaonici, dotacije za ulaganje u računalne pr</w:t>
      </w:r>
      <w:r>
        <w:t>ograme i dotacija za knjige.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17.457,29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23.044,56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Povećanje plaće za redovan rad za 32% zbog povećanja plaća djelatnika početkom 2025. godine.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Povećanje doprinosa na plaće  za 32% zbog povećanja plaća dječatnika početkom 2025. godine.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Povećanje doprinosa za zdravstveno zbog povećanja plaća djelatnika početkom 2025. godine.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Povećanje stavke za 180,00 eura zbog službenog putovanja djelatnika na seminar i stručno usavršavanje.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Povećanje stavke stručno usavršavanje djelatnika zbog odlaska djelatnika na stručno usavršavanje i seminare. 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60,1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Smanjenje uredskog materijala u odnosu na prošlu godinu zbog manjeg naručivanja materijala.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Porast energije za 30,1% zbog porasta cijena energenata plina i električne energije.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766,5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U 2025. godini kupljena je samo miješalica za umivaonik u sitnom inventaru jer se stara potrgala.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Kod usluga promidžbe i informiranja utrošeno je 248,85 eura na postupak javne nabave-cilj dodjela ugovora.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45,0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Intelektualne i osobne usluge smanjene su u 2025. godini u odnosu na 2024. godinu te je utrošeno na Ugovor o djelu, javne nabave za adaptaciju knjižnice i čitaonice.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Rashodi za računalne usluge su veći u odnosu na prošlo izvještajno razdoblje za 24,1% jer se ulagalo i u izradu web stranice za knjižnicu i čitaonicu te tu spada i održavanje knjižničnog programskog paketa te ažuriranje web stranice.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72,0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u 2025. godini manje je utrošenu u reprezentaciju, najam aparata za vodu jer se jdno vrijeme nije koristio aparat za vodu.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Povećane su cijene bankarskih usluga i usluga platnog prometa u odnosu na prošlu godinu pa je i indeks viši u odnosu na prošlo razdoblje.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31.916,80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675,5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Povećanje rashoda za materijalnu imovinu za 675,5 %  zbog adaptacije Knjižnice i čitaonice, izgradnja stepeništa.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Licence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Povećanje rashoda licenci zbog zbog objedinjenja glavne knjige- uvođenja riznice.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29.921,80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633,3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Povećanje rashoda za 633,3 %  zbog adaptacije Knjižnice i čitaonice, izgradnja stepeništa.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16.894,02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14.296,05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84,6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Ulaganje u knjige u iznosu od 14.296,05 eura pristiglim sredstvima od Ministarstva kulture i sredstvima koje je donirala Općina Kotoriba.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140,9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Kapitalna potpora Ministrastva kulture povećana za 40,9% za nabavu knjižne i neknjižne građe.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60,9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Manje prihoda od članarina u Knjižnici i čitaonici u odnosu na prošlu godinu zbog adaptacije knjižnice.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Neproizvedena dugotrajna imovina </w:t>
            </w:r>
            <w:r>
              <w:rPr>
                <w:sz w:val="18"/>
              </w:rPr>
              <w:t>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36.641,80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775,5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Povećanje neproizvedene dugotrajne imovine u odnosu na prošlu godinu zbog izgradnje stubišta u Knjižnici i čitaonici Kotoriba.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232.937,34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247.233,39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106,1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Veće ulaganje u knjige sredstvima pristiglim iz Ministarstva  kulture i sredstvima koje je donirala Općina Kotoriba.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knjiga, umjetničkih djela i ostalih izložbenih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41.419,31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Ispravak vrijednosti-amorizacija za knjige na inventuri u 2025. godini.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Obveze za zaposlene poresle zbog porasta plaće za djelatnika početkom 2025. godine.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Zaprimljena zadužnica od izvođača radova za izgradnu stepeništa Knjižnice i čitaonice Kotoriba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Zaprimljena zadužnica od izvođača radova za izgradnju stubišta u Knjižnici i čitaonici.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Razvoj stanovanja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6.218,06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30.593,69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492,0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U ovom izvještajnom razdoblju rashod prema funkcijskoj klasifikacijije u financijskom smislu veći za 492%, a odnosi se na razvoj stanovanja i zajednice.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F5A0B" w:rsidRDefault="00CD1372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EF5A0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Knjižnica i čitaonica do kraja izvještajnog razdoblja nije bila u kašnjenju s plaćanjem ni jednog računa. svi računi su podmireni do roka dospijeća računa.</w:t>
      </w:r>
    </w:p>
    <w:p w:rsidR="00EF5A0B" w:rsidRDefault="00EF5A0B"/>
    <w:p w:rsidR="00EF5A0B" w:rsidRDefault="00CD1372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F5A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F5A0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rashode </w:t>
            </w:r>
            <w:r>
              <w:rPr>
                <w:sz w:val="18"/>
              </w:rPr>
              <w:t>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F5A0B" w:rsidRDefault="00CD13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F5A0B" w:rsidRDefault="00EF5A0B">
      <w:pPr>
        <w:spacing w:after="0"/>
      </w:pPr>
    </w:p>
    <w:p w:rsidR="00EF5A0B" w:rsidRDefault="00CD1372">
      <w:r>
        <w:t>Obveze za rashode poslovanja iznose 2.759,09 eura, a to su obveze za zaposlenog za mjesec prosinac 2025. godine te obveze prema dobavljačima, podmirenja računa.</w:t>
      </w:r>
    </w:p>
    <w:p w:rsidR="00EF5A0B" w:rsidRDefault="00EF5A0B"/>
    <w:sectPr w:rsidR="00EF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0B"/>
    <w:rsid w:val="00CD1372"/>
    <w:rsid w:val="00E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D4410-0BE3-44EE-A353-1FB31A89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2026-02-11T08:12:00Z</dcterms:created>
  <dcterms:modified xsi:type="dcterms:W3CDTF">2026-02-11T08:12:00Z</dcterms:modified>
</cp:coreProperties>
</file>